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BAF05" w14:textId="62406847" w:rsidR="00191AD4" w:rsidRDefault="00191AD4" w:rsidP="00191AD4">
      <w:pPr>
        <w:pStyle w:val="3GPPHeader"/>
        <w:rPr>
          <w:lang w:val="en-US"/>
        </w:rPr>
      </w:pPr>
      <w:r>
        <w:rPr>
          <w:lang w:val="en-US"/>
        </w:rPr>
        <w:t>3GPP TSG-RAN WG1 Meeting #93</w:t>
      </w:r>
      <w:r>
        <w:rPr>
          <w:lang w:val="en-US"/>
        </w:rPr>
        <w:tab/>
        <w:t>R1-1806431</w:t>
      </w:r>
    </w:p>
    <w:p w14:paraId="2F962A42" w14:textId="77777777" w:rsidR="00191AD4" w:rsidRDefault="00191AD4" w:rsidP="00191AD4">
      <w:pPr>
        <w:pStyle w:val="3GPPHeader"/>
        <w:rPr>
          <w:lang w:val="en-US"/>
        </w:rPr>
      </w:pPr>
      <w:r>
        <w:rPr>
          <w:lang w:val="en-US"/>
        </w:rPr>
        <w:t>Busan, Korea, May 21st – 25th 2018</w:t>
      </w:r>
    </w:p>
    <w:p w14:paraId="62ED611D" w14:textId="77777777" w:rsidR="00E90E49" w:rsidRPr="00864B55" w:rsidRDefault="00E90E49" w:rsidP="00357380">
      <w:pPr>
        <w:pStyle w:val="3GPPHeader"/>
        <w:rPr>
          <w:lang w:val="en-US"/>
        </w:rPr>
      </w:pPr>
    </w:p>
    <w:p w14:paraId="47B3772B" w14:textId="77777777" w:rsidR="00E90E49" w:rsidRPr="00864B55" w:rsidRDefault="003D3C45" w:rsidP="00327997">
      <w:pPr>
        <w:pStyle w:val="3GPPHeader"/>
        <w:rPr>
          <w:lang w:val="en-US"/>
        </w:rPr>
      </w:pPr>
      <w:r w:rsidRPr="00864B55">
        <w:rPr>
          <w:lang w:val="en-US"/>
        </w:rPr>
        <w:t>Source:</w:t>
      </w:r>
      <w:r w:rsidR="00E90E49" w:rsidRPr="00864B55">
        <w:rPr>
          <w:lang w:val="en-US"/>
        </w:rPr>
        <w:tab/>
      </w:r>
      <w:r w:rsidR="00F64C2B" w:rsidRPr="00864B55">
        <w:rPr>
          <w:lang w:val="en-US"/>
        </w:rPr>
        <w:t>Ericsson</w:t>
      </w:r>
    </w:p>
    <w:p w14:paraId="4AEF7A19" w14:textId="5910655D" w:rsidR="00E90E49" w:rsidRPr="00864B55" w:rsidRDefault="003D3C45" w:rsidP="00327997">
      <w:pPr>
        <w:pStyle w:val="3GPPHeader"/>
        <w:rPr>
          <w:lang w:val="en-US"/>
        </w:rPr>
      </w:pPr>
      <w:r w:rsidRPr="00864B55">
        <w:rPr>
          <w:lang w:val="en-US"/>
        </w:rPr>
        <w:t>Title:</w:t>
      </w:r>
      <w:r w:rsidR="00E90E49" w:rsidRPr="00864B55">
        <w:rPr>
          <w:lang w:val="en-US"/>
        </w:rPr>
        <w:tab/>
      </w:r>
      <w:bookmarkStart w:id="0" w:name="_Hlk503517609"/>
      <w:r w:rsidR="00191AD4" w:rsidRPr="00191AD4">
        <w:rPr>
          <w:lang w:val="en-US"/>
        </w:rPr>
        <w:t>An overview of the IMT-2020 Evaluations</w:t>
      </w:r>
    </w:p>
    <w:bookmarkEnd w:id="0"/>
    <w:p w14:paraId="602BE3E0" w14:textId="41788512" w:rsidR="00952A24" w:rsidRPr="00327997" w:rsidRDefault="00952A24" w:rsidP="00327997">
      <w:pPr>
        <w:pStyle w:val="3GPPHeader"/>
      </w:pPr>
      <w:r w:rsidRPr="00501A88">
        <w:t>Agenda Item:</w:t>
      </w:r>
      <w:r w:rsidRPr="00501A88">
        <w:tab/>
      </w:r>
      <w:r w:rsidR="00EC25F4">
        <w:t>7.</w:t>
      </w:r>
      <w:r w:rsidR="00BD2958">
        <w:t>8.2</w:t>
      </w:r>
    </w:p>
    <w:p w14:paraId="0ED1FD91" w14:textId="77777777" w:rsidR="00E90E49" w:rsidRPr="00CE0424" w:rsidRDefault="00E90E49" w:rsidP="00E5689D">
      <w:pPr>
        <w:pStyle w:val="3GPPHeader"/>
      </w:pPr>
      <w:r w:rsidRPr="00327997">
        <w:t>Document for:</w:t>
      </w:r>
      <w:r w:rsidRPr="00327997">
        <w:tab/>
      </w:r>
      <w:r w:rsidR="00A15745">
        <w:t>Discussion</w:t>
      </w:r>
    </w:p>
    <w:p w14:paraId="28F95A73" w14:textId="77777777" w:rsidR="00BF7642" w:rsidRDefault="007F75D5" w:rsidP="002611E7">
      <w:pPr>
        <w:pStyle w:val="Heading1"/>
      </w:pPr>
      <w:r>
        <w:t>Introduction</w:t>
      </w:r>
    </w:p>
    <w:p w14:paraId="010FBF27" w14:textId="61BD41CA" w:rsidR="004675D8" w:rsidRPr="00864B55" w:rsidRDefault="00BF7642" w:rsidP="00BF7642">
      <w:pPr>
        <w:pStyle w:val="BodyText"/>
        <w:rPr>
          <w:lang w:val="en-US"/>
        </w:rPr>
      </w:pPr>
      <w:r w:rsidRPr="00864B55">
        <w:rPr>
          <w:lang w:val="en-US"/>
        </w:rPr>
        <w:t>In this contribution</w:t>
      </w:r>
      <w:r w:rsidR="00BD2958">
        <w:rPr>
          <w:lang w:val="en-US"/>
        </w:rPr>
        <w:t xml:space="preserve"> an overview of the status of the self-evaluations targeting the IMT-2020 requirements </w:t>
      </w:r>
      <w:r w:rsidR="00BD2958" w:rsidRPr="00864B55">
        <w:rPr>
          <w:lang w:val="en-US" w:eastAsia="ja-JP"/>
        </w:rPr>
        <w:t>[1]</w:t>
      </w:r>
      <w:r w:rsidR="00BD2958">
        <w:rPr>
          <w:lang w:val="en-US" w:eastAsia="ja-JP"/>
        </w:rPr>
        <w:t xml:space="preserve"> is provided</w:t>
      </w:r>
      <w:r w:rsidR="00BD2958">
        <w:rPr>
          <w:lang w:val="en-US"/>
        </w:rPr>
        <w:t>. For each requirement there is a short summary of available results and references to evaluations. It is seen that t</w:t>
      </w:r>
      <w:r w:rsidR="00227DBB">
        <w:rPr>
          <w:lang w:val="en-US"/>
        </w:rPr>
        <w:t xml:space="preserve">he </w:t>
      </w:r>
      <w:r w:rsidR="00BD2958">
        <w:rPr>
          <w:lang w:val="en-US"/>
        </w:rPr>
        <w:t xml:space="preserve">available </w:t>
      </w:r>
      <w:r w:rsidR="00227DBB">
        <w:rPr>
          <w:lang w:val="en-US"/>
        </w:rPr>
        <w:t>results indicate that that the IMT-2020 requirements can be met.</w:t>
      </w:r>
    </w:p>
    <w:p w14:paraId="387A3F37" w14:textId="4B43E2CB" w:rsidR="00CD34A9" w:rsidRPr="005A47AE" w:rsidRDefault="00BC208B" w:rsidP="00754D25">
      <w:pPr>
        <w:pStyle w:val="Heading1"/>
      </w:pPr>
      <w:r>
        <w:t>Requirement</w:t>
      </w:r>
      <w:r w:rsidR="00BD2958">
        <w:t>s</w:t>
      </w:r>
      <w:r>
        <w:t xml:space="preserve"> and </w:t>
      </w:r>
      <w:r w:rsidR="00BD2958">
        <w:t>available results</w:t>
      </w:r>
    </w:p>
    <w:p w14:paraId="3B7F81FF" w14:textId="64CD0255" w:rsidR="00BC3105" w:rsidRPr="00754D25" w:rsidRDefault="00BD2958" w:rsidP="008074FE">
      <w:pPr>
        <w:rPr>
          <w:lang w:val="en-US" w:eastAsia="ja-JP"/>
        </w:rPr>
      </w:pPr>
      <w:r w:rsidRPr="00754D25">
        <w:rPr>
          <w:lang w:val="en-US" w:eastAsia="ja-JP"/>
        </w:rPr>
        <w:t xml:space="preserve">This section </w:t>
      </w:r>
      <w:r w:rsidR="00BC4EA9">
        <w:rPr>
          <w:lang w:val="en-US" w:eastAsia="ja-JP"/>
        </w:rPr>
        <w:t>goes through the IMT-2020</w:t>
      </w:r>
      <w:r w:rsidR="00963F8B" w:rsidRPr="00754D25">
        <w:rPr>
          <w:lang w:val="en-US" w:eastAsia="ja-JP"/>
        </w:rPr>
        <w:t xml:space="preserve"> requirements </w:t>
      </w:r>
      <w:r w:rsidR="00BC4EA9">
        <w:rPr>
          <w:lang w:val="en-US" w:eastAsia="ja-JP"/>
        </w:rPr>
        <w:t xml:space="preserve">as listed in </w:t>
      </w:r>
      <w:r w:rsidR="00BC4EA9" w:rsidRPr="00864B55">
        <w:rPr>
          <w:lang w:val="en-US" w:eastAsia="ja-JP"/>
        </w:rPr>
        <w:t>[1</w:t>
      </w:r>
      <w:r w:rsidR="004B7C55" w:rsidRPr="00864B55">
        <w:rPr>
          <w:lang w:val="en-US" w:eastAsia="ja-JP"/>
        </w:rPr>
        <w:t>]</w:t>
      </w:r>
      <w:r w:rsidR="004B7C55">
        <w:rPr>
          <w:lang w:val="en-US" w:eastAsia="ja-JP"/>
        </w:rPr>
        <w:t xml:space="preserve"> and</w:t>
      </w:r>
      <w:r w:rsidR="00963F8B" w:rsidRPr="00754D25">
        <w:rPr>
          <w:lang w:val="en-US" w:eastAsia="ja-JP"/>
        </w:rPr>
        <w:t xml:space="preserve"> </w:t>
      </w:r>
      <w:r w:rsidR="00BC4EA9">
        <w:rPr>
          <w:lang w:val="en-US" w:eastAsia="ja-JP"/>
        </w:rPr>
        <w:t xml:space="preserve">summarizes available </w:t>
      </w:r>
      <w:r w:rsidR="00963F8B" w:rsidRPr="00754D25">
        <w:rPr>
          <w:lang w:val="en-US" w:eastAsia="ja-JP"/>
        </w:rPr>
        <w:t>results</w:t>
      </w:r>
      <w:r w:rsidR="00963F8B">
        <w:rPr>
          <w:lang w:val="en-US" w:eastAsia="ja-JP"/>
        </w:rPr>
        <w:t>.</w:t>
      </w:r>
    </w:p>
    <w:p w14:paraId="464A0E16" w14:textId="27DF6B05" w:rsidR="00BD2958" w:rsidRDefault="00BD2958" w:rsidP="00754D25">
      <w:pPr>
        <w:pStyle w:val="Heading2"/>
        <w:tabs>
          <w:tab w:val="clear" w:pos="680"/>
          <w:tab w:val="left" w:pos="851"/>
        </w:tabs>
        <w:ind w:left="709" w:hanging="709"/>
      </w:pPr>
      <w:r>
        <w:t>Peak datarate</w:t>
      </w:r>
      <w:r w:rsidR="002555D8">
        <w:t xml:space="preserve"> </w:t>
      </w:r>
    </w:p>
    <w:p w14:paraId="62AD5329" w14:textId="7C73E94A" w:rsidR="00BD2958" w:rsidRPr="00754D25" w:rsidRDefault="002555D8" w:rsidP="008C4123">
      <w:pPr>
        <w:pStyle w:val="BodyText"/>
        <w:rPr>
          <w:lang w:val="en-US" w:eastAsia="zh-CN"/>
        </w:rPr>
      </w:pPr>
      <w:r w:rsidRPr="00754D25">
        <w:rPr>
          <w:lang w:val="en-US" w:eastAsia="zh-CN"/>
        </w:rPr>
        <w:t xml:space="preserve">The requirements on peak datarate are 20Gbps for downlink and 10Gbps for uplink. </w:t>
      </w:r>
    </w:p>
    <w:p w14:paraId="5A0E94EB" w14:textId="53240F47" w:rsidR="002555D8" w:rsidRPr="00754D25" w:rsidRDefault="002555D8" w:rsidP="008C4123">
      <w:pPr>
        <w:pStyle w:val="BodyText"/>
        <w:rPr>
          <w:lang w:val="en-US" w:eastAsia="zh-CN"/>
        </w:rPr>
      </w:pPr>
      <w:r w:rsidRPr="00754D25">
        <w:rPr>
          <w:lang w:val="en-US" w:eastAsia="zh-CN"/>
        </w:rPr>
        <w:t>Peak datarate is evaluated in</w:t>
      </w:r>
      <w:r>
        <w:rPr>
          <w:lang w:val="en-US" w:eastAsia="ja-JP"/>
        </w:rPr>
        <w:t xml:space="preserve"> </w:t>
      </w:r>
      <w:r>
        <w:rPr>
          <w:lang w:val="en-US" w:eastAsia="ja-JP"/>
        </w:rPr>
        <w:fldChar w:fldCharType="begin"/>
      </w:r>
      <w:r>
        <w:rPr>
          <w:lang w:val="en-US" w:eastAsia="ja-JP"/>
        </w:rPr>
        <w:instrText xml:space="preserve"> REF _Ref510608419 \n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 xml:space="preserve">. </w:t>
      </w:r>
      <w:r w:rsidR="008C4123">
        <w:rPr>
          <w:lang w:val="en-US" w:eastAsia="ja-JP"/>
        </w:rPr>
        <w:t>For the downlink, i</w:t>
      </w:r>
      <w:r>
        <w:rPr>
          <w:lang w:val="en-US" w:eastAsia="ja-JP"/>
        </w:rPr>
        <w:t xml:space="preserve">t is seen that </w:t>
      </w:r>
      <w:r w:rsidR="008C4123">
        <w:rPr>
          <w:lang w:val="en-US" w:eastAsia="ja-JP"/>
        </w:rPr>
        <w:t>f</w:t>
      </w:r>
      <w:r w:rsidR="008C4123" w:rsidRPr="00754D25">
        <w:rPr>
          <w:lang w:val="en-US" w:eastAsia="zh-CN"/>
        </w:rPr>
        <w:t>or a 400 MHz wide component carrier the peak data rate is 17.65 Gbps. Aggregating two such component carriers requires a bandwidth of 800 MHz and gives a peak data rate well beyond 20 Gbps. For the uplink, the peak datarate on one 400MHz component carrier is 10.21Gbps, which is above the target of 10Gbps.</w:t>
      </w:r>
    </w:p>
    <w:p w14:paraId="678FEA5B" w14:textId="53624958" w:rsidR="002555D8" w:rsidRPr="00754D25" w:rsidRDefault="008C4123" w:rsidP="008C4123">
      <w:pPr>
        <w:pStyle w:val="BodyText"/>
        <w:rPr>
          <w:lang w:val="en-US" w:eastAsia="zh-CN"/>
        </w:rPr>
      </w:pPr>
      <w:r w:rsidRPr="00754D25">
        <w:rPr>
          <w:lang w:val="en-US" w:eastAsia="zh-CN"/>
        </w:rPr>
        <w:t>The requirements on peak datarate can be met.</w:t>
      </w:r>
    </w:p>
    <w:p w14:paraId="68B97F3F" w14:textId="02DCB171" w:rsidR="002555D8" w:rsidRDefault="002555D8" w:rsidP="00754D25">
      <w:pPr>
        <w:pStyle w:val="Heading2"/>
        <w:tabs>
          <w:tab w:val="clear" w:pos="680"/>
          <w:tab w:val="left" w:pos="851"/>
        </w:tabs>
        <w:ind w:left="709" w:hanging="709"/>
      </w:pPr>
      <w:r>
        <w:t>Peak spectral efficiency</w:t>
      </w:r>
    </w:p>
    <w:p w14:paraId="61A9CE5E" w14:textId="42DA9229" w:rsidR="008C4123" w:rsidRPr="00754D25" w:rsidRDefault="008C4123" w:rsidP="008C4123">
      <w:pPr>
        <w:pStyle w:val="BodyText"/>
        <w:rPr>
          <w:lang w:val="en-US" w:eastAsia="zh-CN"/>
        </w:rPr>
      </w:pPr>
      <w:r w:rsidRPr="00754D25">
        <w:rPr>
          <w:lang w:val="en-US" w:eastAsia="zh-CN"/>
        </w:rPr>
        <w:t xml:space="preserve">The requirements on peak spectral efficiency are 30bps/Hz for downlink and 15bps/Hz for uplink. </w:t>
      </w:r>
    </w:p>
    <w:p w14:paraId="4A5EE5D5" w14:textId="47A8AC82" w:rsidR="008C4123" w:rsidRPr="00754D25" w:rsidRDefault="008C4123" w:rsidP="008C4123">
      <w:pPr>
        <w:pStyle w:val="BodyText"/>
        <w:rPr>
          <w:lang w:val="en-US" w:eastAsia="zh-CN"/>
        </w:rPr>
      </w:pPr>
      <w:r w:rsidRPr="00754D25">
        <w:rPr>
          <w:lang w:val="en-US" w:eastAsia="zh-CN"/>
        </w:rPr>
        <w:t>Peak spectral efficienc</w:t>
      </w:r>
      <w:r w:rsidR="00640FE3" w:rsidRPr="00754D25">
        <w:rPr>
          <w:lang w:val="en-US" w:eastAsia="zh-CN"/>
        </w:rPr>
        <w:t>ies</w:t>
      </w:r>
      <w:r w:rsidRPr="00754D25">
        <w:rPr>
          <w:lang w:val="en-US" w:eastAsia="zh-CN"/>
        </w:rPr>
        <w:t xml:space="preserve"> </w:t>
      </w:r>
      <w:r w:rsidR="00640FE3" w:rsidRPr="00754D25">
        <w:rPr>
          <w:lang w:val="en-US" w:eastAsia="zh-CN"/>
        </w:rPr>
        <w:t>are</w:t>
      </w:r>
      <w:r w:rsidRPr="00754D25">
        <w:rPr>
          <w:lang w:val="en-US" w:eastAsia="zh-CN"/>
        </w:rPr>
        <w:t xml:space="preserve"> evaluated in</w:t>
      </w:r>
      <w:r>
        <w:rPr>
          <w:lang w:val="en-US" w:eastAsia="ja-JP"/>
        </w:rPr>
        <w:t xml:space="preserve"> </w:t>
      </w:r>
      <w:r>
        <w:rPr>
          <w:lang w:val="en-US" w:eastAsia="ja-JP"/>
        </w:rPr>
        <w:fldChar w:fldCharType="begin"/>
      </w:r>
      <w:r>
        <w:rPr>
          <w:lang w:val="en-US" w:eastAsia="ja-JP"/>
        </w:rPr>
        <w:instrText xml:space="preserve"> REF _Ref510608419 \n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 For the downlink</w:t>
      </w:r>
      <w:r w:rsidR="00963F8B">
        <w:rPr>
          <w:lang w:val="en-US" w:eastAsia="ja-JP"/>
        </w:rPr>
        <w:t xml:space="preserve"> peak spectral efficiencies of up to 44bps/Hz are reached. </w:t>
      </w:r>
      <w:r w:rsidRPr="00754D25">
        <w:rPr>
          <w:lang w:val="en-US" w:eastAsia="zh-CN"/>
        </w:rPr>
        <w:t xml:space="preserve">For the uplink, </w:t>
      </w:r>
      <w:r w:rsidR="00963F8B" w:rsidRPr="00754D25">
        <w:rPr>
          <w:lang w:val="en-US" w:eastAsia="zh-CN"/>
        </w:rPr>
        <w:t>peak spectral efficiencies of up to 25bps/Hz are reached</w:t>
      </w:r>
      <w:r w:rsidRPr="00754D25">
        <w:rPr>
          <w:lang w:val="en-US" w:eastAsia="zh-CN"/>
        </w:rPr>
        <w:t>.</w:t>
      </w:r>
      <w:r w:rsidR="00963F8B" w:rsidRPr="00754D25">
        <w:rPr>
          <w:lang w:val="en-US" w:eastAsia="zh-CN"/>
        </w:rPr>
        <w:t xml:space="preserve"> Both are well above the requirements.</w:t>
      </w:r>
    </w:p>
    <w:p w14:paraId="70ACE3CB" w14:textId="625B5963" w:rsidR="002555D8" w:rsidRPr="00754D25" w:rsidRDefault="008C4123" w:rsidP="008C4123">
      <w:pPr>
        <w:pStyle w:val="BodyText"/>
        <w:rPr>
          <w:lang w:val="en-US" w:eastAsia="zh-CN"/>
        </w:rPr>
      </w:pPr>
      <w:r w:rsidRPr="00754D25">
        <w:rPr>
          <w:lang w:val="en-US" w:eastAsia="zh-CN"/>
        </w:rPr>
        <w:t xml:space="preserve">The requirements on peak </w:t>
      </w:r>
      <w:r w:rsidR="00963F8B" w:rsidRPr="00754D25">
        <w:rPr>
          <w:lang w:val="en-US" w:eastAsia="zh-CN"/>
        </w:rPr>
        <w:t>spectral efficiency</w:t>
      </w:r>
      <w:r w:rsidRPr="00754D25">
        <w:rPr>
          <w:lang w:val="en-US" w:eastAsia="zh-CN"/>
        </w:rPr>
        <w:t xml:space="preserve"> can be met.</w:t>
      </w:r>
    </w:p>
    <w:p w14:paraId="38A0816A" w14:textId="26DC6765" w:rsidR="008166C3" w:rsidRPr="00FC33C2" w:rsidRDefault="008166C3" w:rsidP="00754D25">
      <w:pPr>
        <w:pStyle w:val="Heading2"/>
        <w:tabs>
          <w:tab w:val="clear" w:pos="680"/>
          <w:tab w:val="left" w:pos="851"/>
        </w:tabs>
        <w:ind w:left="709" w:hanging="709"/>
      </w:pPr>
      <w:r w:rsidRPr="00FC33C2">
        <w:t xml:space="preserve">User </w:t>
      </w:r>
      <w:r w:rsidR="00115017">
        <w:t>e</w:t>
      </w:r>
      <w:r w:rsidRPr="00FC33C2">
        <w:t xml:space="preserve">xperienced </w:t>
      </w:r>
      <w:r w:rsidR="00115017">
        <w:t>d</w:t>
      </w:r>
      <w:r w:rsidRPr="00FC33C2">
        <w:t xml:space="preserve">atarate </w:t>
      </w:r>
    </w:p>
    <w:p w14:paraId="31C31D21" w14:textId="2DF4CEAA" w:rsidR="008166C3" w:rsidRDefault="00115017" w:rsidP="008166C3">
      <w:pPr>
        <w:rPr>
          <w:lang w:val="en-US"/>
        </w:rPr>
      </w:pPr>
      <w:r>
        <w:rPr>
          <w:lang w:val="en-US"/>
        </w:rPr>
        <w:t>The requirements on experienced datarate are 100Mbps for downlink and 50Mbps for uplink. These are to be obtained on the 5</w:t>
      </w:r>
      <w:r w:rsidRPr="00754D25">
        <w:rPr>
          <w:vertAlign w:val="superscript"/>
          <w:lang w:val="en-US"/>
        </w:rPr>
        <w:t>th</w:t>
      </w:r>
      <w:r>
        <w:rPr>
          <w:lang w:val="en-US"/>
        </w:rPr>
        <w:t xml:space="preserve"> percentile in the Dense Urban scenario.</w:t>
      </w:r>
    </w:p>
    <w:p w14:paraId="4FB3345E" w14:textId="0ABBC9E4" w:rsidR="00115017" w:rsidRDefault="00115017" w:rsidP="008166C3">
      <w:pPr>
        <w:rPr>
          <w:lang w:val="en-US"/>
        </w:rPr>
      </w:pPr>
      <w:r>
        <w:rPr>
          <w:lang w:val="en-US"/>
        </w:rPr>
        <w:t xml:space="preserve">User experienced datarates are evaluated in </w:t>
      </w:r>
      <w:r w:rsidR="00D15D48">
        <w:rPr>
          <w:lang w:val="en-US"/>
        </w:rPr>
        <w:fldChar w:fldCharType="begin"/>
      </w:r>
      <w:r w:rsidR="00D15D48">
        <w:rPr>
          <w:lang w:val="en-US"/>
        </w:rPr>
        <w:instrText xml:space="preserve"> REF _Ref510728243 \r \h </w:instrText>
      </w:r>
      <w:r w:rsidR="00D15D48">
        <w:rPr>
          <w:lang w:val="en-US"/>
        </w:rPr>
      </w:r>
      <w:r w:rsidR="00D15D48">
        <w:rPr>
          <w:lang w:val="en-US"/>
        </w:rPr>
        <w:fldChar w:fldCharType="separate"/>
      </w:r>
      <w:r w:rsidR="00D15D48">
        <w:rPr>
          <w:lang w:val="en-US"/>
        </w:rPr>
        <w:t>[4]</w:t>
      </w:r>
      <w:r w:rsidR="00D15D48">
        <w:rPr>
          <w:lang w:val="en-US"/>
        </w:rPr>
        <w:fldChar w:fldCharType="end"/>
      </w:r>
      <w:r>
        <w:rPr>
          <w:lang w:val="en-US"/>
        </w:rPr>
        <w:t xml:space="preserve">. It is seen that the requirements are </w:t>
      </w:r>
      <w:r w:rsidR="00C1753F">
        <w:rPr>
          <w:lang w:val="en-US"/>
        </w:rPr>
        <w:t xml:space="preserve">reached assuming a bandwidth of </w:t>
      </w:r>
      <w:r w:rsidR="00B476F6">
        <w:rPr>
          <w:lang w:val="en-US"/>
        </w:rPr>
        <w:t>317</w:t>
      </w:r>
      <w:r w:rsidR="00C1753F">
        <w:rPr>
          <w:lang w:val="en-US"/>
        </w:rPr>
        <w:t>MHz.</w:t>
      </w:r>
    </w:p>
    <w:p w14:paraId="0091965B" w14:textId="12CFC36C" w:rsidR="008166C3" w:rsidRPr="00FC33C2" w:rsidRDefault="00115017" w:rsidP="008166C3">
      <w:pPr>
        <w:rPr>
          <w:lang w:val="en-US"/>
        </w:rPr>
      </w:pPr>
      <w:r>
        <w:rPr>
          <w:lang w:val="en-US"/>
        </w:rPr>
        <w:t>The requirements on user experienced datarate can be met.</w:t>
      </w:r>
    </w:p>
    <w:p w14:paraId="58E10E3E" w14:textId="65405628" w:rsidR="007B7124" w:rsidRDefault="007B7124" w:rsidP="00754D25">
      <w:pPr>
        <w:pStyle w:val="Heading2"/>
        <w:tabs>
          <w:tab w:val="clear" w:pos="680"/>
          <w:tab w:val="left" w:pos="851"/>
        </w:tabs>
        <w:ind w:left="709" w:hanging="709"/>
      </w:pPr>
      <w:r>
        <w:lastRenderedPageBreak/>
        <w:t>5</w:t>
      </w:r>
      <w:r w:rsidRPr="00754D25">
        <w:rPr>
          <w:vertAlign w:val="superscript"/>
        </w:rPr>
        <w:t>th</w:t>
      </w:r>
      <w:r>
        <w:t xml:space="preserve"> percentile</w:t>
      </w:r>
      <w:r w:rsidR="004A732B">
        <w:t xml:space="preserve"> user spectral efficiency and </w:t>
      </w:r>
      <w:r w:rsidR="004A732B">
        <w:rPr>
          <w:szCs w:val="28"/>
        </w:rPr>
        <w:t>average</w:t>
      </w:r>
      <w:r w:rsidRPr="00D00465">
        <w:rPr>
          <w:szCs w:val="28"/>
        </w:rPr>
        <w:t xml:space="preserve"> spectral efficiency</w:t>
      </w:r>
    </w:p>
    <w:p w14:paraId="32516647" w14:textId="335F5FEF" w:rsidR="002555D8" w:rsidRPr="00754D25" w:rsidRDefault="002555D8" w:rsidP="008C4123">
      <w:pPr>
        <w:pStyle w:val="BodyText"/>
        <w:rPr>
          <w:lang w:val="en-US" w:eastAsia="zh-CN"/>
        </w:rPr>
      </w:pPr>
      <w:r w:rsidRPr="00754D25">
        <w:rPr>
          <w:lang w:val="en-US" w:eastAsia="zh-CN"/>
        </w:rPr>
        <w:t xml:space="preserve">The requirements on </w:t>
      </w:r>
      <w:r w:rsidR="004A732B" w:rsidRPr="00754D25">
        <w:rPr>
          <w:lang w:val="en-US" w:eastAsia="zh-CN"/>
        </w:rPr>
        <w:t>5</w:t>
      </w:r>
      <w:r w:rsidR="004A732B" w:rsidRPr="00754D25">
        <w:rPr>
          <w:vertAlign w:val="superscript"/>
          <w:lang w:val="en-US" w:eastAsia="zh-CN"/>
        </w:rPr>
        <w:t>th</w:t>
      </w:r>
      <w:r w:rsidR="004A732B" w:rsidRPr="00754D25">
        <w:rPr>
          <w:lang w:val="en-US" w:eastAsia="zh-CN"/>
        </w:rPr>
        <w:t xml:space="preserve"> percentile user</w:t>
      </w:r>
      <w:r w:rsidRPr="00754D25">
        <w:rPr>
          <w:lang w:val="en-US" w:eastAsia="zh-CN"/>
        </w:rPr>
        <w:t xml:space="preserve"> spectral efficiency</w:t>
      </w:r>
      <w:r w:rsidR="004A732B" w:rsidRPr="00754D25">
        <w:rPr>
          <w:lang w:val="en-US" w:eastAsia="zh-CN"/>
        </w:rPr>
        <w:t xml:space="preserve"> and average spectral efficiency</w:t>
      </w:r>
      <w:r w:rsidRPr="00754D25">
        <w:rPr>
          <w:lang w:val="en-US" w:eastAsia="zh-CN"/>
        </w:rPr>
        <w:t xml:space="preserve"> are </w:t>
      </w:r>
      <w:r w:rsidR="008166C3" w:rsidRPr="00754D25">
        <w:rPr>
          <w:lang w:val="en-US" w:eastAsia="zh-CN"/>
        </w:rPr>
        <w:t>scenario dependent</w:t>
      </w:r>
      <w:r w:rsidRPr="00754D25">
        <w:rPr>
          <w:lang w:val="en-US" w:eastAsia="zh-CN"/>
        </w:rPr>
        <w:t>.</w:t>
      </w:r>
      <w:r w:rsidR="004A732B" w:rsidRPr="00754D25">
        <w:rPr>
          <w:lang w:val="en-US" w:eastAsia="zh-CN"/>
        </w:rPr>
        <w:t xml:space="preserve"> </w:t>
      </w:r>
      <w:r w:rsidRPr="00754D25">
        <w:rPr>
          <w:lang w:val="en-US" w:eastAsia="zh-CN"/>
        </w:rPr>
        <w:t xml:space="preserve"> </w:t>
      </w:r>
    </w:p>
    <w:p w14:paraId="727A4CCB" w14:textId="4ACBBB3C" w:rsidR="007B7124" w:rsidRPr="00754D25" w:rsidRDefault="004A732B" w:rsidP="00754D25">
      <w:pPr>
        <w:pStyle w:val="BodyText"/>
        <w:rPr>
          <w:lang w:val="en-US" w:eastAsia="zh-CN"/>
        </w:rPr>
      </w:pPr>
      <w:r w:rsidRPr="00754D25">
        <w:rPr>
          <w:lang w:val="en-US" w:eastAsia="zh-CN"/>
        </w:rPr>
        <w:t>Evaluations of 5</w:t>
      </w:r>
      <w:r w:rsidRPr="00754D25">
        <w:rPr>
          <w:vertAlign w:val="superscript"/>
          <w:lang w:val="en-US" w:eastAsia="zh-CN"/>
        </w:rPr>
        <w:t>th</w:t>
      </w:r>
      <w:r w:rsidRPr="00754D25">
        <w:rPr>
          <w:lang w:val="en-US" w:eastAsia="zh-CN"/>
        </w:rPr>
        <w:t xml:space="preserve"> percentile user spectral efficiency and average spectral efficiency are provided in </w:t>
      </w:r>
      <w:r>
        <w:rPr>
          <w:lang w:eastAsia="zh-CN"/>
        </w:rPr>
        <w:fldChar w:fldCharType="begin"/>
      </w:r>
      <w:r w:rsidRPr="00754D25">
        <w:rPr>
          <w:lang w:val="en-US" w:eastAsia="zh-CN"/>
        </w:rPr>
        <w:instrText xml:space="preserve"> REF _Ref510703530 \n \h </w:instrText>
      </w:r>
      <w:r>
        <w:rPr>
          <w:lang w:eastAsia="zh-CN"/>
        </w:rPr>
      </w:r>
      <w:r>
        <w:rPr>
          <w:lang w:eastAsia="zh-CN"/>
        </w:rPr>
        <w:fldChar w:fldCharType="separate"/>
      </w:r>
      <w:r w:rsidRPr="00754D25">
        <w:rPr>
          <w:lang w:val="en-US" w:eastAsia="zh-CN"/>
        </w:rPr>
        <w:t>[5]</w:t>
      </w:r>
      <w:r>
        <w:rPr>
          <w:lang w:eastAsia="zh-CN"/>
        </w:rPr>
        <w:fldChar w:fldCharType="end"/>
      </w:r>
      <w:r w:rsidRPr="00754D25">
        <w:rPr>
          <w:lang w:val="en-US" w:eastAsia="zh-CN"/>
        </w:rPr>
        <w:t>. Results for all scenarios, 5</w:t>
      </w:r>
      <w:r w:rsidRPr="00754D25">
        <w:rPr>
          <w:vertAlign w:val="superscript"/>
          <w:lang w:val="en-US" w:eastAsia="zh-CN"/>
        </w:rPr>
        <w:t>th</w:t>
      </w:r>
      <w:r w:rsidRPr="00754D25">
        <w:rPr>
          <w:lang w:val="en-US" w:eastAsia="zh-CN"/>
        </w:rPr>
        <w:t xml:space="preserve"> percentile and average, downlink and uplink, are above the requirements.</w:t>
      </w:r>
    </w:p>
    <w:p w14:paraId="758B28C0" w14:textId="248A20EB" w:rsidR="00BD2958" w:rsidRPr="00754D25" w:rsidRDefault="004A732B" w:rsidP="00754D25">
      <w:pPr>
        <w:tabs>
          <w:tab w:val="left" w:pos="851"/>
        </w:tabs>
        <w:ind w:left="709" w:hanging="709"/>
        <w:rPr>
          <w:lang w:val="en-US"/>
        </w:rPr>
      </w:pPr>
      <w:r>
        <w:rPr>
          <w:lang w:val="en-US"/>
        </w:rPr>
        <w:t xml:space="preserve">The requirements on </w:t>
      </w:r>
      <w:r w:rsidRPr="00754D25">
        <w:rPr>
          <w:lang w:val="en-US" w:eastAsia="zh-CN"/>
        </w:rPr>
        <w:t>5</w:t>
      </w:r>
      <w:r w:rsidRPr="00754D25">
        <w:rPr>
          <w:vertAlign w:val="superscript"/>
          <w:lang w:val="en-US" w:eastAsia="zh-CN"/>
        </w:rPr>
        <w:t>th</w:t>
      </w:r>
      <w:r w:rsidRPr="00754D25">
        <w:rPr>
          <w:lang w:val="en-US" w:eastAsia="zh-CN"/>
        </w:rPr>
        <w:t xml:space="preserve"> percentile user spectral efficiency and average spectral efficiency </w:t>
      </w:r>
      <w:r>
        <w:rPr>
          <w:lang w:val="en-US"/>
        </w:rPr>
        <w:t>can be met.</w:t>
      </w:r>
      <w:r w:rsidR="00BD2958" w:rsidRPr="00754D25">
        <w:rPr>
          <w:lang w:val="en-US"/>
        </w:rPr>
        <w:t> </w:t>
      </w:r>
    </w:p>
    <w:p w14:paraId="76A732AD" w14:textId="621DA778" w:rsidR="00BD2958" w:rsidRPr="009915CF" w:rsidRDefault="00BD2958" w:rsidP="00754D25">
      <w:pPr>
        <w:pStyle w:val="Heading2"/>
        <w:tabs>
          <w:tab w:val="clear" w:pos="680"/>
          <w:tab w:val="left" w:pos="851"/>
        </w:tabs>
        <w:ind w:left="709" w:hanging="709"/>
      </w:pPr>
      <w:r w:rsidRPr="00754D25">
        <w:t>Area traffic capacity</w:t>
      </w:r>
    </w:p>
    <w:p w14:paraId="305E11FB" w14:textId="77777777" w:rsidR="001613C4" w:rsidRPr="00754D25" w:rsidRDefault="001613C4" w:rsidP="001613C4">
      <w:pPr>
        <w:pStyle w:val="BodyText"/>
        <w:rPr>
          <w:lang w:val="en-US" w:eastAsia="zh-CN"/>
        </w:rPr>
      </w:pPr>
      <w:r w:rsidRPr="00754D25">
        <w:rPr>
          <w:lang w:val="en-US" w:eastAsia="zh-CN"/>
        </w:rPr>
        <w:t>The requirement on area traffic capacity is 10Mbps/m</w:t>
      </w:r>
      <w:r w:rsidRPr="00754D25">
        <w:rPr>
          <w:vertAlign w:val="superscript"/>
          <w:lang w:val="en-US" w:eastAsia="zh-CN"/>
        </w:rPr>
        <w:t>2</w:t>
      </w:r>
      <w:r w:rsidRPr="00754D25">
        <w:rPr>
          <w:lang w:val="en-US" w:eastAsia="zh-CN"/>
        </w:rPr>
        <w:t xml:space="preserve"> for downlink in the in the indoor hotspot scenario.</w:t>
      </w:r>
    </w:p>
    <w:p w14:paraId="0FE91A0C" w14:textId="2B09DCAD" w:rsidR="001613C4" w:rsidRPr="00754D25" w:rsidRDefault="001613C4" w:rsidP="001613C4">
      <w:pPr>
        <w:pStyle w:val="BodyText"/>
        <w:rPr>
          <w:lang w:val="en-US" w:eastAsia="zh-CN"/>
        </w:rPr>
      </w:pPr>
      <w:r w:rsidRPr="00754D25">
        <w:rPr>
          <w:lang w:val="en-US" w:eastAsia="zh-CN"/>
        </w:rPr>
        <w:t xml:space="preserve">Evaluations of area traffic capacity are presented in </w:t>
      </w:r>
      <w:r>
        <w:rPr>
          <w:lang w:eastAsia="zh-CN"/>
        </w:rPr>
        <w:fldChar w:fldCharType="begin"/>
      </w:r>
      <w:r w:rsidRPr="00754D25">
        <w:rPr>
          <w:lang w:val="en-US" w:eastAsia="zh-CN"/>
        </w:rPr>
        <w:instrText xml:space="preserve"> REF _Ref510703881 \r \h </w:instrText>
      </w:r>
      <w:r>
        <w:rPr>
          <w:lang w:eastAsia="zh-CN"/>
        </w:rPr>
      </w:r>
      <w:r>
        <w:rPr>
          <w:lang w:eastAsia="zh-CN"/>
        </w:rPr>
        <w:fldChar w:fldCharType="separate"/>
      </w:r>
      <w:r w:rsidRPr="00754D25">
        <w:rPr>
          <w:lang w:val="en-US" w:eastAsia="zh-CN"/>
        </w:rPr>
        <w:t>[6]</w:t>
      </w:r>
      <w:r>
        <w:rPr>
          <w:lang w:eastAsia="zh-CN"/>
        </w:rPr>
        <w:fldChar w:fldCharType="end"/>
      </w:r>
      <w:r w:rsidRPr="00754D25">
        <w:rPr>
          <w:lang w:val="en-US" w:eastAsia="zh-CN"/>
        </w:rPr>
        <w:t>. Results indicate that 10Mbps/m</w:t>
      </w:r>
      <w:r w:rsidRPr="00754D25">
        <w:rPr>
          <w:vertAlign w:val="superscript"/>
          <w:lang w:val="en-US" w:eastAsia="zh-CN"/>
        </w:rPr>
        <w:t>2</w:t>
      </w:r>
      <w:r w:rsidRPr="00754D25">
        <w:rPr>
          <w:lang w:val="en-US" w:eastAsia="zh-CN"/>
        </w:rPr>
        <w:t xml:space="preserve"> is reached with a spectrum allocation of </w:t>
      </w:r>
      <w:r w:rsidR="00E70B1D" w:rsidRPr="00E70B1D">
        <w:rPr>
          <w:lang w:val="en-US" w:eastAsia="zh-CN"/>
        </w:rPr>
        <w:t>219</w:t>
      </w:r>
      <w:r w:rsidRPr="00E70B1D">
        <w:rPr>
          <w:lang w:val="en-US" w:eastAsia="zh-CN"/>
        </w:rPr>
        <w:t>MHz.</w:t>
      </w:r>
      <w:r w:rsidRPr="00754D25">
        <w:rPr>
          <w:lang w:val="en-US" w:eastAsia="zh-CN"/>
        </w:rPr>
        <w:t xml:space="preserve">  </w:t>
      </w:r>
    </w:p>
    <w:p w14:paraId="24AE3533" w14:textId="5DF5274B" w:rsidR="00BD2958" w:rsidRPr="00754D25" w:rsidRDefault="001613C4" w:rsidP="00BD2958">
      <w:pPr>
        <w:rPr>
          <w:lang w:val="en-US"/>
        </w:rPr>
      </w:pPr>
      <w:r>
        <w:rPr>
          <w:lang w:val="en-US"/>
        </w:rPr>
        <w:t>The requirement on area traffic capacity can be met.</w:t>
      </w:r>
      <w:r w:rsidRPr="00D00465">
        <w:rPr>
          <w:lang w:val="en-US"/>
        </w:rPr>
        <w:t> </w:t>
      </w:r>
    </w:p>
    <w:p w14:paraId="4A3BA152" w14:textId="20F157D1" w:rsidR="00BD2958" w:rsidRPr="009915CF" w:rsidRDefault="00BD2958" w:rsidP="00754D25">
      <w:pPr>
        <w:pStyle w:val="Heading2"/>
        <w:tabs>
          <w:tab w:val="clear" w:pos="680"/>
          <w:tab w:val="left" w:pos="851"/>
        </w:tabs>
        <w:ind w:left="709" w:hanging="709"/>
      </w:pPr>
      <w:r w:rsidRPr="00754D25">
        <w:t xml:space="preserve">User plane latency </w:t>
      </w:r>
    </w:p>
    <w:p w14:paraId="6CA89EAD" w14:textId="65C2B228" w:rsidR="00BD2958" w:rsidRPr="00754D25" w:rsidRDefault="00C1753F" w:rsidP="00BD2958">
      <w:pPr>
        <w:rPr>
          <w:lang w:val="en-US"/>
        </w:rPr>
      </w:pPr>
      <w:r>
        <w:rPr>
          <w:lang w:val="en-US"/>
        </w:rPr>
        <w:t>The requirements on user plane latency are 4ms for eMBB and 1ms for URLLC, one-way for both downlink and uplink.</w:t>
      </w:r>
    </w:p>
    <w:p w14:paraId="67876B28" w14:textId="7939A270" w:rsidR="00B66BBC" w:rsidRDefault="00C1753F" w:rsidP="00B66BBC">
      <w:pPr>
        <w:rPr>
          <w:lang w:val="en-US"/>
        </w:rPr>
      </w:pPr>
      <w:r>
        <w:rPr>
          <w:lang w:val="en-US"/>
        </w:rPr>
        <w:t xml:space="preserve">User plane latencies are evaluated in </w:t>
      </w:r>
      <w:r>
        <w:rPr>
          <w:lang w:val="en-US"/>
        </w:rPr>
        <w:fldChar w:fldCharType="begin"/>
      </w:r>
      <w:r>
        <w:rPr>
          <w:lang w:val="en-US"/>
        </w:rPr>
        <w:instrText xml:space="preserve"> REF _Ref510704099 \r \h </w:instrText>
      </w:r>
      <w:r>
        <w:rPr>
          <w:lang w:val="en-US"/>
        </w:rPr>
      </w:r>
      <w:r>
        <w:rPr>
          <w:lang w:val="en-US"/>
        </w:rPr>
        <w:fldChar w:fldCharType="separate"/>
      </w:r>
      <w:r>
        <w:rPr>
          <w:lang w:val="en-US"/>
        </w:rPr>
        <w:t>[7]</w:t>
      </w:r>
      <w:r>
        <w:rPr>
          <w:lang w:val="en-US"/>
        </w:rPr>
        <w:fldChar w:fldCharType="end"/>
      </w:r>
      <w:r>
        <w:rPr>
          <w:lang w:val="en-US"/>
        </w:rPr>
        <w:t xml:space="preserve">. </w:t>
      </w:r>
      <w:r w:rsidR="00B66BBC">
        <w:rPr>
          <w:lang w:val="en-US"/>
        </w:rPr>
        <w:t xml:space="preserve">It is seen that </w:t>
      </w:r>
      <w:r w:rsidR="00B66BBC" w:rsidRPr="00B66BBC">
        <w:rPr>
          <w:lang w:val="en-US"/>
        </w:rPr>
        <w:t>NR FDD can fulfil the 1ms UP latency target with SCS above 15kHz</w:t>
      </w:r>
      <w:r w:rsidR="00B66BBC">
        <w:rPr>
          <w:lang w:val="en-US"/>
        </w:rPr>
        <w:t xml:space="preserve">, and that </w:t>
      </w:r>
      <w:r w:rsidR="00B66BBC" w:rsidRPr="00B66BBC">
        <w:rPr>
          <w:lang w:val="en-US"/>
        </w:rPr>
        <w:t>HARQ retransmissions can be done within the latency target above 30kHz SCS.</w:t>
      </w:r>
      <w:r w:rsidR="00B66BBC">
        <w:rPr>
          <w:lang w:val="en-US"/>
        </w:rPr>
        <w:t xml:space="preserve"> </w:t>
      </w:r>
      <w:r w:rsidR="009C1842">
        <w:rPr>
          <w:lang w:val="en-US"/>
        </w:rPr>
        <w:t xml:space="preserve">The smallest one-way latency for FDD is 0.20ms. </w:t>
      </w:r>
      <w:r w:rsidR="00B66BBC" w:rsidRPr="00B66BBC">
        <w:rPr>
          <w:lang w:val="en-US"/>
        </w:rPr>
        <w:t>NR TDD can fulfil the 1ms UP latency target with SCS above 30kHz. SPS can reduce the UL latency significantly.</w:t>
      </w:r>
      <w:r w:rsidR="009C1842">
        <w:rPr>
          <w:lang w:val="en-US"/>
        </w:rPr>
        <w:t xml:space="preserve"> The smallest one-way latency for FDD is 0.27ms.</w:t>
      </w:r>
    </w:p>
    <w:p w14:paraId="1D0B7C4D" w14:textId="6D863DD1" w:rsidR="00B66BBC" w:rsidRPr="00754D25" w:rsidRDefault="00B66BBC">
      <w:pPr>
        <w:rPr>
          <w:lang w:val="en-US"/>
        </w:rPr>
      </w:pPr>
      <w:r>
        <w:rPr>
          <w:lang w:val="en-US"/>
        </w:rPr>
        <w:t>The requirements on user plane latency can be met.</w:t>
      </w:r>
    </w:p>
    <w:p w14:paraId="6EC9C720" w14:textId="331990D5" w:rsidR="00BD2958" w:rsidRPr="009915CF" w:rsidRDefault="00BD2958" w:rsidP="00754D25">
      <w:pPr>
        <w:pStyle w:val="Heading2"/>
        <w:tabs>
          <w:tab w:val="clear" w:pos="680"/>
          <w:tab w:val="left" w:pos="851"/>
        </w:tabs>
        <w:ind w:left="709" w:hanging="709"/>
      </w:pPr>
      <w:r w:rsidRPr="00754D25">
        <w:t xml:space="preserve">Control plane latency </w:t>
      </w:r>
    </w:p>
    <w:p w14:paraId="4DE90179" w14:textId="76D615D0" w:rsidR="00BD2958" w:rsidRPr="00754D25" w:rsidRDefault="000E20CB" w:rsidP="00BD2958">
      <w:pPr>
        <w:rPr>
          <w:lang w:val="en-US"/>
        </w:rPr>
      </w:pPr>
      <w:r>
        <w:rPr>
          <w:lang w:val="en-US"/>
        </w:rPr>
        <w:t>The IMT-2020 requirement on control plane latency is 10ms. 3GPP also has a requirement of 10ms. The control plane latency refers to the transition time from a battery efficient state to the start of continuous data transfer.</w:t>
      </w:r>
    </w:p>
    <w:p w14:paraId="7EEA59B1" w14:textId="11DAACD7" w:rsidR="00BD2958" w:rsidRDefault="000E20CB" w:rsidP="000E20CB">
      <w:pPr>
        <w:rPr>
          <w:lang w:val="en-US"/>
        </w:rPr>
      </w:pPr>
      <w:r>
        <w:rPr>
          <w:lang w:val="en-US"/>
        </w:rPr>
        <w:t>Evaluations of control plane latency are presented in</w:t>
      </w:r>
      <w:r w:rsidR="00BD2958" w:rsidRPr="00754D25">
        <w:rPr>
          <w:lang w:val="en-US"/>
        </w:rPr>
        <w:t> </w:t>
      </w:r>
      <w:r w:rsidR="00C1753F">
        <w:rPr>
          <w:lang w:val="en-US"/>
        </w:rPr>
        <w:fldChar w:fldCharType="begin"/>
      </w:r>
      <w:r w:rsidR="00C1753F">
        <w:rPr>
          <w:lang w:val="en-US"/>
        </w:rPr>
        <w:instrText xml:space="preserve"> REF _Ref510704107 \r \h </w:instrText>
      </w:r>
      <w:r w:rsidR="00C1753F">
        <w:rPr>
          <w:lang w:val="en-US"/>
        </w:rPr>
      </w:r>
      <w:r w:rsidR="00C1753F">
        <w:rPr>
          <w:lang w:val="en-US"/>
        </w:rPr>
        <w:fldChar w:fldCharType="separate"/>
      </w:r>
      <w:r w:rsidR="00C1753F">
        <w:rPr>
          <w:lang w:val="en-US"/>
        </w:rPr>
        <w:t>[8]</w:t>
      </w:r>
      <w:r w:rsidR="00C1753F">
        <w:rPr>
          <w:lang w:val="en-US"/>
        </w:rPr>
        <w:fldChar w:fldCharType="end"/>
      </w:r>
      <w:r>
        <w:rPr>
          <w:lang w:val="en-US"/>
        </w:rPr>
        <w:t>. It is observed that for FDD t</w:t>
      </w:r>
      <w:r w:rsidRPr="000E20CB">
        <w:rPr>
          <w:lang w:val="en-US"/>
        </w:rPr>
        <w:t>he worst-case CP latency in NR Rel-15 is estimated to 9TTI+6ms at 15/30kHz SCS</w:t>
      </w:r>
      <w:r>
        <w:rPr>
          <w:lang w:val="en-US"/>
        </w:rPr>
        <w:t>,</w:t>
      </w:r>
      <w:r w:rsidRPr="000E20CB">
        <w:rPr>
          <w:lang w:val="en-US"/>
        </w:rPr>
        <w:t xml:space="preserve"> and 14TTI+6ms at 120kHz SCS.</w:t>
      </w:r>
      <w:r>
        <w:rPr>
          <w:lang w:val="en-US"/>
        </w:rPr>
        <w:t xml:space="preserve"> </w:t>
      </w:r>
      <w:r w:rsidR="00153E72">
        <w:rPr>
          <w:lang w:val="en-US"/>
        </w:rPr>
        <w:t xml:space="preserve">For example, for a </w:t>
      </w:r>
      <w:r w:rsidR="002E0100">
        <w:rPr>
          <w:lang w:val="en-US"/>
        </w:rPr>
        <w:t>4-symbol</w:t>
      </w:r>
      <w:r w:rsidR="00153E72">
        <w:rPr>
          <w:lang w:val="en-US"/>
        </w:rPr>
        <w:t xml:space="preserve"> TTI and </w:t>
      </w:r>
      <w:r w:rsidR="002E0100">
        <w:rPr>
          <w:lang w:val="en-US"/>
        </w:rPr>
        <w:t>30</w:t>
      </w:r>
      <w:r w:rsidR="00153E72">
        <w:rPr>
          <w:lang w:val="en-US"/>
        </w:rPr>
        <w:t xml:space="preserve">kHz SCS, </w:t>
      </w:r>
      <w:r w:rsidR="002E0100">
        <w:rPr>
          <w:lang w:val="en-US"/>
        </w:rPr>
        <w:t xml:space="preserve">the CP latency is 7.3ms. </w:t>
      </w:r>
      <w:r>
        <w:rPr>
          <w:lang w:val="en-US"/>
        </w:rPr>
        <w:t xml:space="preserve">This means that </w:t>
      </w:r>
      <w:r w:rsidRPr="000E20CB">
        <w:rPr>
          <w:lang w:val="en-US"/>
        </w:rPr>
        <w:t>NR Rel-15 FDD can reach the 3GPP and ITU 5G targets on CP latency.</w:t>
      </w:r>
      <w:r>
        <w:rPr>
          <w:lang w:val="en-US"/>
        </w:rPr>
        <w:t xml:space="preserve"> For TDD t</w:t>
      </w:r>
      <w:r w:rsidRPr="000E20CB">
        <w:rPr>
          <w:lang w:val="en-US"/>
        </w:rPr>
        <w:t>he worst-case CP latency in NR Rel-15 with alternating UL-DL pattern is estimated to 14TTI+6ms for 15/30kHz SCS and 20TTI+6ms for 120kHz SCS.</w:t>
      </w:r>
      <w:r>
        <w:rPr>
          <w:lang w:val="en-US"/>
        </w:rPr>
        <w:t xml:space="preserve"> </w:t>
      </w:r>
      <w:r w:rsidR="002E0100">
        <w:rPr>
          <w:lang w:val="en-US"/>
        </w:rPr>
        <w:t xml:space="preserve">For example, for a 4-symbol TTI and 30kHz SCS, the CP latency is 8.0ms. </w:t>
      </w:r>
      <w:r>
        <w:rPr>
          <w:lang w:val="en-US"/>
        </w:rPr>
        <w:t xml:space="preserve">This means that </w:t>
      </w:r>
      <w:r w:rsidRPr="000E20CB">
        <w:rPr>
          <w:lang w:val="en-US"/>
        </w:rPr>
        <w:t>NR Rel-15 TDD can reach the ITU and 3GPP 5G targets on CP latency.</w:t>
      </w:r>
    </w:p>
    <w:p w14:paraId="18244E2E" w14:textId="0CD323C2" w:rsidR="000E20CB" w:rsidRPr="00D00465" w:rsidRDefault="000E20CB" w:rsidP="000E20CB">
      <w:pPr>
        <w:rPr>
          <w:lang w:val="en-US"/>
        </w:rPr>
      </w:pPr>
      <w:r>
        <w:rPr>
          <w:lang w:val="en-US"/>
        </w:rPr>
        <w:t>The requirements on control plane latency can be met.</w:t>
      </w:r>
    </w:p>
    <w:p w14:paraId="7F7FDA3A" w14:textId="0E0FD5FC" w:rsidR="00BD2958" w:rsidRPr="009915CF" w:rsidRDefault="00BD2958" w:rsidP="00754D25">
      <w:pPr>
        <w:pStyle w:val="Heading2"/>
        <w:tabs>
          <w:tab w:val="clear" w:pos="680"/>
          <w:tab w:val="left" w:pos="851"/>
        </w:tabs>
        <w:ind w:left="709" w:hanging="709"/>
      </w:pPr>
      <w:r w:rsidRPr="00754D25">
        <w:lastRenderedPageBreak/>
        <w:t>Connection density</w:t>
      </w:r>
    </w:p>
    <w:p w14:paraId="20C449BC" w14:textId="77777777" w:rsidR="002C1495" w:rsidRDefault="002C1495" w:rsidP="00BD2958">
      <w:pPr>
        <w:rPr>
          <w:lang w:val="en-US"/>
        </w:rPr>
      </w:pPr>
      <w:r>
        <w:rPr>
          <w:lang w:val="en-US"/>
        </w:rPr>
        <w:t>The requirement on connection density is support for 1 000 000 devices per km</w:t>
      </w:r>
      <w:r w:rsidRPr="00754D25">
        <w:rPr>
          <w:vertAlign w:val="superscript"/>
          <w:lang w:val="en-US"/>
        </w:rPr>
        <w:t>2</w:t>
      </w:r>
      <w:r>
        <w:rPr>
          <w:lang w:val="en-US"/>
        </w:rPr>
        <w:t>, supporting a minimum quality of service, specified as transferring messages of 32B with an interarrival time of two hours within a delay of 10s.</w:t>
      </w:r>
    </w:p>
    <w:p w14:paraId="54E2382D" w14:textId="73A98D86" w:rsidR="002C1495" w:rsidRDefault="00FC2EF0" w:rsidP="00BD2958">
      <w:pPr>
        <w:rPr>
          <w:lang w:val="en-US"/>
        </w:rPr>
      </w:pPr>
      <w:r>
        <w:rPr>
          <w:lang w:val="en-US"/>
        </w:rPr>
        <w:t>Connection density can be evaluated with time-dynamic non-full buffer simulation methodology and a simpler full buffer methodology.</w:t>
      </w:r>
    </w:p>
    <w:p w14:paraId="52FAAD53" w14:textId="1095FEA2" w:rsidR="00BD2958" w:rsidRDefault="00FC2EF0" w:rsidP="00BD2958">
      <w:pPr>
        <w:rPr>
          <w:lang w:val="en-US"/>
        </w:rPr>
      </w:pPr>
      <w:r>
        <w:rPr>
          <w:lang w:val="en-US"/>
        </w:rPr>
        <w:t xml:space="preserve">Results for the non-full buffer methodology for NB-IoT and LTE-M are presented in </w:t>
      </w:r>
      <w:r w:rsidR="00C1753F">
        <w:rPr>
          <w:lang w:val="en-US"/>
        </w:rPr>
        <w:fldChar w:fldCharType="begin"/>
      </w:r>
      <w:r w:rsidR="00C1753F">
        <w:rPr>
          <w:lang w:val="en-US"/>
        </w:rPr>
        <w:instrText xml:space="preserve"> REF _Ref510704114 \r \h </w:instrText>
      </w:r>
      <w:r w:rsidR="00C1753F">
        <w:rPr>
          <w:lang w:val="en-US"/>
        </w:rPr>
      </w:r>
      <w:r w:rsidR="00C1753F">
        <w:rPr>
          <w:lang w:val="en-US"/>
        </w:rPr>
        <w:fldChar w:fldCharType="separate"/>
      </w:r>
      <w:r w:rsidR="00C1753F">
        <w:rPr>
          <w:lang w:val="en-US"/>
        </w:rPr>
        <w:t>[9]</w:t>
      </w:r>
      <w:r w:rsidR="00C1753F">
        <w:rPr>
          <w:lang w:val="en-US"/>
        </w:rPr>
        <w:fldChar w:fldCharType="end"/>
      </w:r>
      <w:r w:rsidR="008B0EF5">
        <w:rPr>
          <w:lang w:val="en-US"/>
        </w:rPr>
        <w:t xml:space="preserve">. </w:t>
      </w:r>
      <w:r w:rsidR="003F0169">
        <w:rPr>
          <w:lang w:val="en-US"/>
        </w:rPr>
        <w:t>Results indicate that LTE-M can reach the requirements for 500m ISD using 1 NB, and for 1732m ISD using 3</w:t>
      </w:r>
      <w:r w:rsidR="0088649E">
        <w:rPr>
          <w:lang w:val="en-US"/>
        </w:rPr>
        <w:t xml:space="preserve"> </w:t>
      </w:r>
      <w:r w:rsidR="003F0169">
        <w:rPr>
          <w:lang w:val="en-US"/>
        </w:rPr>
        <w:t xml:space="preserve">NBs. NB-IoT </w:t>
      </w:r>
      <w:r w:rsidR="00F0263D">
        <w:rPr>
          <w:lang w:val="en-US"/>
        </w:rPr>
        <w:t xml:space="preserve">reaches the requirements for 500m ISD using </w:t>
      </w:r>
      <w:r w:rsidR="0088649E">
        <w:rPr>
          <w:lang w:val="en-US"/>
        </w:rPr>
        <w:t>1</w:t>
      </w:r>
      <w:r w:rsidR="00F0263D">
        <w:rPr>
          <w:lang w:val="en-US"/>
        </w:rPr>
        <w:t xml:space="preserve"> PRB, and for 1732m ISD using </w:t>
      </w:r>
      <w:r w:rsidR="0088649E">
        <w:rPr>
          <w:lang w:val="en-US"/>
        </w:rPr>
        <w:t>9-12</w:t>
      </w:r>
      <w:r w:rsidR="00F0263D">
        <w:rPr>
          <w:lang w:val="en-US"/>
        </w:rPr>
        <w:t xml:space="preserve"> PRBs.</w:t>
      </w:r>
    </w:p>
    <w:p w14:paraId="631790E5" w14:textId="293B3BC0" w:rsidR="00F0263D" w:rsidRDefault="00F0263D" w:rsidP="00BD2958">
      <w:pPr>
        <w:rPr>
          <w:lang w:val="en-US"/>
        </w:rPr>
      </w:pPr>
      <w:r>
        <w:rPr>
          <w:lang w:val="en-US"/>
        </w:rPr>
        <w:t>Results for the full buffer methodology for NR</w:t>
      </w:r>
      <w:r w:rsidR="009915CF">
        <w:rPr>
          <w:lang w:val="en-US"/>
        </w:rPr>
        <w:t xml:space="preserve"> and</w:t>
      </w:r>
      <w:r>
        <w:rPr>
          <w:lang w:val="en-US"/>
        </w:rPr>
        <w:t xml:space="preserve"> NB-IoT are presented in </w:t>
      </w:r>
      <w:r w:rsidR="00C1753F">
        <w:rPr>
          <w:lang w:val="en-US"/>
        </w:rPr>
        <w:fldChar w:fldCharType="begin"/>
      </w:r>
      <w:r w:rsidR="00C1753F">
        <w:rPr>
          <w:lang w:val="en-US"/>
        </w:rPr>
        <w:instrText xml:space="preserve"> REF _Ref510704120 \r \h </w:instrText>
      </w:r>
      <w:r w:rsidR="00C1753F">
        <w:rPr>
          <w:lang w:val="en-US"/>
        </w:rPr>
      </w:r>
      <w:r w:rsidR="00C1753F">
        <w:rPr>
          <w:lang w:val="en-US"/>
        </w:rPr>
        <w:fldChar w:fldCharType="separate"/>
      </w:r>
      <w:r w:rsidR="00C1753F">
        <w:rPr>
          <w:lang w:val="en-US"/>
        </w:rPr>
        <w:t>[10]</w:t>
      </w:r>
      <w:r w:rsidR="00C1753F">
        <w:rPr>
          <w:lang w:val="en-US"/>
        </w:rPr>
        <w:fldChar w:fldCharType="end"/>
      </w:r>
      <w:r>
        <w:rPr>
          <w:lang w:val="en-US"/>
        </w:rPr>
        <w:t xml:space="preserve">. Using this methodology, with limited modeling of control channel overhead and delays, the requirements are met </w:t>
      </w:r>
      <w:r w:rsidR="0088649E">
        <w:rPr>
          <w:lang w:val="en-US"/>
        </w:rPr>
        <w:t>for NR, LTE-M and NB-IoT.</w:t>
      </w:r>
    </w:p>
    <w:p w14:paraId="75D82709" w14:textId="35B29811" w:rsidR="00BD2958" w:rsidRPr="009915CF" w:rsidRDefault="00BD2958" w:rsidP="00754D25">
      <w:pPr>
        <w:pStyle w:val="Heading2"/>
        <w:tabs>
          <w:tab w:val="clear" w:pos="680"/>
          <w:tab w:val="left" w:pos="851"/>
        </w:tabs>
        <w:ind w:left="709" w:hanging="709"/>
      </w:pPr>
      <w:bookmarkStart w:id="1" w:name="_GoBack"/>
      <w:bookmarkEnd w:id="1"/>
      <w:r w:rsidRPr="00754D25">
        <w:t xml:space="preserve">Energy Efficiency </w:t>
      </w:r>
    </w:p>
    <w:p w14:paraId="005E74F7" w14:textId="1F80848B" w:rsidR="00BD2958" w:rsidRPr="00754D25" w:rsidRDefault="00D15D48" w:rsidP="005C3AD7">
      <w:pPr>
        <w:rPr>
          <w:lang w:val="en-US"/>
        </w:rPr>
      </w:pPr>
      <w:r>
        <w:rPr>
          <w:lang w:val="en-US"/>
        </w:rPr>
        <w:t>The requirement on energy efficiency is</w:t>
      </w:r>
      <w:r w:rsidR="005C3AD7">
        <w:rPr>
          <w:lang w:val="en-US"/>
        </w:rPr>
        <w:t xml:space="preserve"> support for e</w:t>
      </w:r>
      <w:r w:rsidR="005C3AD7" w:rsidRPr="005C3AD7">
        <w:rPr>
          <w:lang w:val="en-US"/>
        </w:rPr>
        <w:t>fficient data transmission in a loaded case</w:t>
      </w:r>
      <w:r w:rsidR="005C3AD7">
        <w:rPr>
          <w:lang w:val="en-US"/>
        </w:rPr>
        <w:t>, and l</w:t>
      </w:r>
      <w:r w:rsidR="005C3AD7" w:rsidRPr="005C3AD7">
        <w:rPr>
          <w:lang w:val="en-US"/>
        </w:rPr>
        <w:t>ow energy consumption when there is no data.</w:t>
      </w:r>
    </w:p>
    <w:p w14:paraId="4EC6FECD" w14:textId="20697D19" w:rsidR="005C3AD7" w:rsidRDefault="005C3AD7" w:rsidP="00BD2958">
      <w:pPr>
        <w:rPr>
          <w:lang w:val="en-US"/>
        </w:rPr>
      </w:pPr>
      <w:r>
        <w:rPr>
          <w:lang w:val="en-US"/>
        </w:rPr>
        <w:t xml:space="preserve">Evaluations on energy efficiency are provided in </w:t>
      </w:r>
      <w:r w:rsidR="00C1753F">
        <w:rPr>
          <w:lang w:val="en-US"/>
        </w:rPr>
        <w:fldChar w:fldCharType="begin"/>
      </w:r>
      <w:r w:rsidR="00C1753F">
        <w:rPr>
          <w:lang w:val="en-US"/>
        </w:rPr>
        <w:instrText xml:space="preserve"> REF _Ref510704126 \r \h </w:instrText>
      </w:r>
      <w:r w:rsidR="00C1753F">
        <w:rPr>
          <w:lang w:val="en-US"/>
        </w:rPr>
      </w:r>
      <w:r w:rsidR="00C1753F">
        <w:rPr>
          <w:lang w:val="en-US"/>
        </w:rPr>
        <w:fldChar w:fldCharType="separate"/>
      </w:r>
      <w:r w:rsidR="00C1753F">
        <w:rPr>
          <w:lang w:val="en-US"/>
        </w:rPr>
        <w:t>[11]</w:t>
      </w:r>
      <w:r w:rsidR="00C1753F">
        <w:rPr>
          <w:lang w:val="en-US"/>
        </w:rPr>
        <w:fldChar w:fldCharType="end"/>
      </w:r>
      <w:r>
        <w:rPr>
          <w:lang w:val="en-US"/>
        </w:rPr>
        <w:t>. It is seen that NR indeed transmits data efficiently, which is also verified by the spectral efficiency requirements, and that NR through its leanness enables low energy consumption when there is no data.</w:t>
      </w:r>
    </w:p>
    <w:p w14:paraId="42B9E266" w14:textId="7DEFAD67" w:rsidR="00BD2958" w:rsidRPr="00754D25" w:rsidRDefault="005C3AD7" w:rsidP="00BD2958">
      <w:pPr>
        <w:rPr>
          <w:lang w:val="en-US"/>
        </w:rPr>
      </w:pPr>
      <w:r>
        <w:rPr>
          <w:lang w:val="en-US"/>
        </w:rPr>
        <w:t>The requirements on energy efficiency are met with NR.</w:t>
      </w:r>
    </w:p>
    <w:p w14:paraId="702F4582" w14:textId="09F0EF31" w:rsidR="00BD2958" w:rsidRPr="009915CF" w:rsidRDefault="00BD2958" w:rsidP="00754D25">
      <w:pPr>
        <w:pStyle w:val="Heading2"/>
        <w:tabs>
          <w:tab w:val="clear" w:pos="680"/>
          <w:tab w:val="left" w:pos="851"/>
        </w:tabs>
        <w:ind w:left="709" w:hanging="709"/>
      </w:pPr>
      <w:r w:rsidRPr="00754D25">
        <w:t>Reliability</w:t>
      </w:r>
    </w:p>
    <w:p w14:paraId="4CD0D478" w14:textId="72CE04BA" w:rsidR="005C2228" w:rsidRDefault="005C2228" w:rsidP="00BD2958">
      <w:pPr>
        <w:rPr>
          <w:lang w:val="en-US"/>
        </w:rPr>
      </w:pPr>
      <w:r w:rsidRPr="005F02F1">
        <w:rPr>
          <w:rFonts w:cs="Arial"/>
          <w:szCs w:val="20"/>
          <w:lang w:val="en-US"/>
        </w:rPr>
        <w:t xml:space="preserve">The </w:t>
      </w:r>
      <w:r>
        <w:rPr>
          <w:rFonts w:cs="Arial"/>
          <w:szCs w:val="20"/>
          <w:lang w:val="en-US"/>
        </w:rPr>
        <w:t>requirement on</w:t>
      </w:r>
      <w:r w:rsidRPr="005F02F1">
        <w:rPr>
          <w:rFonts w:cs="Arial"/>
          <w:szCs w:val="20"/>
          <w:lang w:val="en-US"/>
        </w:rPr>
        <w:t xml:space="preserve"> reliability </w:t>
      </w:r>
      <w:r>
        <w:rPr>
          <w:rFonts w:cs="Arial"/>
          <w:szCs w:val="20"/>
          <w:lang w:val="en-US"/>
        </w:rPr>
        <w:t>is</w:t>
      </w:r>
      <w:r w:rsidRPr="005F02F1">
        <w:rPr>
          <w:rFonts w:cs="Arial"/>
          <w:szCs w:val="20"/>
          <w:lang w:val="en-US"/>
        </w:rPr>
        <w:t xml:space="preserve"> to</w:t>
      </w:r>
      <w:r>
        <w:rPr>
          <w:rFonts w:cs="Arial"/>
          <w:szCs w:val="20"/>
          <w:lang w:val="en-US"/>
        </w:rPr>
        <w:t xml:space="preserve"> be able to deliver a 32B message within 1ms with a success probability of 99.999%, at a link quality defined by the 5</w:t>
      </w:r>
      <w:r w:rsidRPr="00754D25">
        <w:rPr>
          <w:rFonts w:cs="Arial"/>
          <w:szCs w:val="20"/>
          <w:vertAlign w:val="superscript"/>
          <w:lang w:val="en-US"/>
        </w:rPr>
        <w:t>th</w:t>
      </w:r>
      <w:r>
        <w:rPr>
          <w:rFonts w:cs="Arial"/>
          <w:szCs w:val="20"/>
          <w:lang w:val="en-US"/>
        </w:rPr>
        <w:t xml:space="preserve"> percentile SINR in the Urban Macro scenario. </w:t>
      </w:r>
    </w:p>
    <w:p w14:paraId="7C31A8D4" w14:textId="3863F3DB" w:rsidR="005C2228" w:rsidRPr="00D00465" w:rsidRDefault="005C2228" w:rsidP="005C2228">
      <w:pPr>
        <w:rPr>
          <w:lang w:val="en-US"/>
        </w:rPr>
      </w:pPr>
      <w:r>
        <w:rPr>
          <w:lang w:val="en-US"/>
        </w:rPr>
        <w:t xml:space="preserve">Reliability evaluations are presented in </w:t>
      </w:r>
      <w:r>
        <w:rPr>
          <w:lang w:val="en-US"/>
        </w:rPr>
        <w:fldChar w:fldCharType="begin"/>
      </w:r>
      <w:r>
        <w:rPr>
          <w:lang w:val="en-US"/>
        </w:rPr>
        <w:instrText xml:space="preserve"> REF _Ref510704143 \r \h </w:instrText>
      </w:r>
      <w:r>
        <w:rPr>
          <w:lang w:val="en-US"/>
        </w:rPr>
      </w:r>
      <w:r>
        <w:rPr>
          <w:lang w:val="en-US"/>
        </w:rPr>
        <w:fldChar w:fldCharType="separate"/>
      </w:r>
      <w:r>
        <w:rPr>
          <w:lang w:val="en-US"/>
        </w:rPr>
        <w:t>[12]</w:t>
      </w:r>
      <w:r>
        <w:rPr>
          <w:lang w:val="en-US"/>
        </w:rPr>
        <w:fldChar w:fldCharType="end"/>
      </w:r>
      <w:r>
        <w:rPr>
          <w:lang w:val="en-US"/>
        </w:rPr>
        <w:t>.</w:t>
      </w:r>
      <w:r w:rsidR="006D11F6">
        <w:rPr>
          <w:lang w:val="en-US"/>
        </w:rPr>
        <w:t xml:space="preserve"> Results indicate that the 5</w:t>
      </w:r>
      <w:r w:rsidR="006D11F6" w:rsidRPr="00754D25">
        <w:rPr>
          <w:vertAlign w:val="superscript"/>
          <w:lang w:val="en-US"/>
        </w:rPr>
        <w:t>th</w:t>
      </w:r>
      <w:r w:rsidR="006D11F6">
        <w:rPr>
          <w:lang w:val="en-US"/>
        </w:rPr>
        <w:t xml:space="preserve"> percentile SINR is -</w:t>
      </w:r>
      <w:r w:rsidR="007A3DC1">
        <w:rPr>
          <w:lang w:val="en-US"/>
        </w:rPr>
        <w:t>1</w:t>
      </w:r>
      <w:r w:rsidR="006D11F6">
        <w:rPr>
          <w:lang w:val="en-US"/>
        </w:rPr>
        <w:t>dB (</w:t>
      </w:r>
      <w:r w:rsidR="007A3DC1">
        <w:rPr>
          <w:lang w:val="en-US"/>
        </w:rPr>
        <w:t xml:space="preserve">worst configuration </w:t>
      </w:r>
      <w:r w:rsidR="006D11F6">
        <w:rPr>
          <w:lang w:val="en-US"/>
        </w:rPr>
        <w:t>downlink, which is lower than uplink). At this link quality using a code rate of 1/10 and three transmission results in a success probability within 1ms better than 99.999%.</w:t>
      </w:r>
    </w:p>
    <w:p w14:paraId="3E84E658" w14:textId="3E605298" w:rsidR="00BD2958" w:rsidRPr="00754D25" w:rsidRDefault="006D11F6" w:rsidP="00BD2958">
      <w:pPr>
        <w:rPr>
          <w:lang w:val="en-US"/>
        </w:rPr>
      </w:pPr>
      <w:r>
        <w:rPr>
          <w:lang w:val="en-US"/>
        </w:rPr>
        <w:t>The requirement on reliability can be met.</w:t>
      </w:r>
    </w:p>
    <w:p w14:paraId="0B85A646" w14:textId="104D6212" w:rsidR="00BD2958" w:rsidRPr="009915CF" w:rsidRDefault="00BD2958" w:rsidP="00754D25">
      <w:pPr>
        <w:pStyle w:val="Heading2"/>
        <w:tabs>
          <w:tab w:val="clear" w:pos="680"/>
          <w:tab w:val="left" w:pos="851"/>
        </w:tabs>
        <w:ind w:left="709" w:hanging="709"/>
      </w:pPr>
      <w:r w:rsidRPr="00754D25">
        <w:t>Mobility</w:t>
      </w:r>
    </w:p>
    <w:p w14:paraId="3E250942" w14:textId="1BC5D9F2" w:rsidR="00640FE3" w:rsidRDefault="00640FE3" w:rsidP="00BD2958">
      <w:pPr>
        <w:rPr>
          <w:lang w:val="en-US"/>
        </w:rPr>
      </w:pPr>
      <w:r>
        <w:rPr>
          <w:lang w:val="en-US"/>
        </w:rPr>
        <w:t xml:space="preserve">The requirements on mobility are support for combinations of normalized datarates and terminal speeds at the median uplink SINR. The requirements are </w:t>
      </w:r>
      <w:r w:rsidR="00352AAB">
        <w:rPr>
          <w:lang w:val="en-US"/>
        </w:rPr>
        <w:t xml:space="preserve">1.5bps/Hz for </w:t>
      </w:r>
    </w:p>
    <w:p w14:paraId="214878EA" w14:textId="08EB7291" w:rsidR="00BD2958" w:rsidRDefault="00640FE3" w:rsidP="00BD2958">
      <w:pPr>
        <w:rPr>
          <w:lang w:val="en-US"/>
        </w:rPr>
      </w:pPr>
      <w:r>
        <w:rPr>
          <w:lang w:val="en-US"/>
        </w:rPr>
        <w:t xml:space="preserve">Mobility is evaluated in </w:t>
      </w:r>
      <w:r>
        <w:rPr>
          <w:lang w:val="en-US"/>
        </w:rPr>
        <w:fldChar w:fldCharType="begin"/>
      </w:r>
      <w:r>
        <w:rPr>
          <w:lang w:val="en-US"/>
        </w:rPr>
        <w:instrText xml:space="preserve"> REF _Ref510616901 \n \h </w:instrText>
      </w:r>
      <w:r>
        <w:rPr>
          <w:lang w:val="en-US"/>
        </w:rPr>
      </w:r>
      <w:r>
        <w:rPr>
          <w:lang w:val="en-US"/>
        </w:rPr>
        <w:fldChar w:fldCharType="separate"/>
      </w:r>
      <w:r w:rsidR="00850A90">
        <w:rPr>
          <w:lang w:val="en-US"/>
        </w:rPr>
        <w:t>[13]</w:t>
      </w:r>
      <w:r>
        <w:rPr>
          <w:lang w:val="en-US"/>
        </w:rPr>
        <w:fldChar w:fldCharType="end"/>
      </w:r>
      <w:r>
        <w:rPr>
          <w:lang w:val="en-US"/>
        </w:rPr>
        <w:t xml:space="preserve">. It is seen that for all scenarios, the median SINR is higher than what is required to reach the </w:t>
      </w:r>
      <w:r w:rsidR="00352AAB">
        <w:rPr>
          <w:lang w:val="en-US"/>
        </w:rPr>
        <w:t xml:space="preserve">required normalized datarates. </w:t>
      </w:r>
    </w:p>
    <w:p w14:paraId="7453664C" w14:textId="4B96CAAA" w:rsidR="00BD2958" w:rsidRPr="00754D25" w:rsidRDefault="00352AAB" w:rsidP="00BD2958">
      <w:pPr>
        <w:rPr>
          <w:lang w:val="en-US"/>
        </w:rPr>
      </w:pPr>
      <w:r>
        <w:rPr>
          <w:lang w:val="en-US"/>
        </w:rPr>
        <w:t>The requirements on mobility can be reached.</w:t>
      </w:r>
      <w:r w:rsidR="00BD2958" w:rsidRPr="00754D25">
        <w:rPr>
          <w:lang w:val="en-US"/>
        </w:rPr>
        <w:t> </w:t>
      </w:r>
    </w:p>
    <w:p w14:paraId="3E8861C7" w14:textId="72E9B91E" w:rsidR="00BD2958" w:rsidRPr="009915CF" w:rsidRDefault="00BD2958" w:rsidP="00754D25">
      <w:pPr>
        <w:pStyle w:val="Heading2"/>
        <w:tabs>
          <w:tab w:val="clear" w:pos="680"/>
          <w:tab w:val="left" w:pos="851"/>
        </w:tabs>
        <w:ind w:left="709" w:hanging="709"/>
      </w:pPr>
      <w:r w:rsidRPr="00754D25">
        <w:lastRenderedPageBreak/>
        <w:t xml:space="preserve">Mobility interruption time </w:t>
      </w:r>
    </w:p>
    <w:p w14:paraId="5CF62D6E" w14:textId="27662148" w:rsidR="0004731F" w:rsidRPr="002E50AC" w:rsidRDefault="0004731F" w:rsidP="00BD2958">
      <w:pPr>
        <w:rPr>
          <w:lang w:val="en-US"/>
        </w:rPr>
      </w:pPr>
      <w:r>
        <w:rPr>
          <w:lang w:val="en-US"/>
        </w:rPr>
        <w:t>The requirement on mobility interruption time is a 0ms</w:t>
      </w:r>
      <w:r w:rsidR="002E50AC">
        <w:rPr>
          <w:lang w:val="en-US"/>
        </w:rPr>
        <w:t xml:space="preserve">. The mobility interruption time is defined as </w:t>
      </w:r>
      <w:r w:rsidR="002E50AC" w:rsidRPr="00754D25">
        <w:rPr>
          <w:sz w:val="23"/>
          <w:szCs w:val="23"/>
          <w:lang w:val="en-US"/>
        </w:rPr>
        <w:t>the shortest time duration supported by the system during which a user terminal cannot exchange user plane packets with any base station during transitions</w:t>
      </w:r>
      <w:r w:rsidR="002E50AC">
        <w:rPr>
          <w:sz w:val="23"/>
          <w:szCs w:val="23"/>
          <w:lang w:val="en-US"/>
        </w:rPr>
        <w:t>.</w:t>
      </w:r>
    </w:p>
    <w:p w14:paraId="7242F342" w14:textId="6D85644C" w:rsidR="002E50AC" w:rsidRDefault="002E50AC" w:rsidP="00BD2958">
      <w:pPr>
        <w:rPr>
          <w:lang w:val="en-US"/>
        </w:rPr>
      </w:pPr>
      <w:r>
        <w:rPr>
          <w:lang w:val="en-US"/>
        </w:rPr>
        <w:t xml:space="preserve">In </w:t>
      </w:r>
      <w:r>
        <w:rPr>
          <w:lang w:val="en-US"/>
        </w:rPr>
        <w:fldChar w:fldCharType="begin"/>
      </w:r>
      <w:r>
        <w:rPr>
          <w:lang w:val="en-US"/>
        </w:rPr>
        <w:instrText xml:space="preserve"> REF _Ref510700561 \n \h </w:instrText>
      </w:r>
      <w:r>
        <w:rPr>
          <w:lang w:val="en-US"/>
        </w:rPr>
      </w:r>
      <w:r>
        <w:rPr>
          <w:lang w:val="en-US"/>
        </w:rPr>
        <w:fldChar w:fldCharType="separate"/>
      </w:r>
      <w:r>
        <w:rPr>
          <w:lang w:val="en-US"/>
        </w:rPr>
        <w:t>[14]</w:t>
      </w:r>
      <w:r>
        <w:rPr>
          <w:lang w:val="en-US"/>
        </w:rPr>
        <w:fldChar w:fldCharType="end"/>
      </w:r>
      <w:r>
        <w:rPr>
          <w:lang w:val="en-US"/>
        </w:rPr>
        <w:t xml:space="preserve">, RAN2 has concluded that for LTE the requirement can be supported for LTE with a dual Rx UE in combination with make before break and RACH-less handover, or with dual connectivity. For NR the requirement is fulfilled with intra-cell beam mobility, or with carrier aggregation.  </w:t>
      </w:r>
    </w:p>
    <w:p w14:paraId="31A895D7" w14:textId="76260874" w:rsidR="00BD2958" w:rsidRPr="00864B55" w:rsidRDefault="002E50AC" w:rsidP="00754D25">
      <w:pPr>
        <w:rPr>
          <w:lang w:val="en-US"/>
        </w:rPr>
      </w:pPr>
      <w:r>
        <w:rPr>
          <w:lang w:val="en-US"/>
        </w:rPr>
        <w:t>The requirement on mobility interruption time can be met.</w:t>
      </w:r>
    </w:p>
    <w:p w14:paraId="2E61C915" w14:textId="2CCBAA99" w:rsidR="00CD34A9" w:rsidRDefault="002555D8" w:rsidP="00754D25">
      <w:pPr>
        <w:pStyle w:val="Heading2"/>
        <w:tabs>
          <w:tab w:val="clear" w:pos="680"/>
          <w:tab w:val="left" w:pos="851"/>
        </w:tabs>
        <w:ind w:left="709" w:hanging="709"/>
      </w:pPr>
      <w:r>
        <w:t>Bandwidth</w:t>
      </w:r>
    </w:p>
    <w:p w14:paraId="3F67A81D" w14:textId="77777777" w:rsidR="002555D8" w:rsidRDefault="002555D8" w:rsidP="003A3147">
      <w:pPr>
        <w:pStyle w:val="BodyText"/>
        <w:rPr>
          <w:lang w:val="en-US" w:eastAsia="ja-JP"/>
        </w:rPr>
      </w:pPr>
      <w:r>
        <w:rPr>
          <w:lang w:val="en-US" w:eastAsia="ja-JP"/>
        </w:rPr>
        <w:t xml:space="preserve">The requirement on bandwidth is 100MHz. </w:t>
      </w:r>
    </w:p>
    <w:p w14:paraId="1C5C7A96" w14:textId="06A92745" w:rsidR="002555D8" w:rsidRDefault="002555D8" w:rsidP="003A3147">
      <w:pPr>
        <w:pStyle w:val="BodyText"/>
        <w:rPr>
          <w:lang w:val="en-US" w:eastAsia="ja-JP"/>
        </w:rPr>
      </w:pPr>
      <w:r>
        <w:rPr>
          <w:lang w:val="en-US" w:eastAsia="ja-JP"/>
        </w:rPr>
        <w:t xml:space="preserve">In </w:t>
      </w:r>
      <w:r>
        <w:rPr>
          <w:lang w:val="en-US" w:eastAsia="ja-JP"/>
        </w:rPr>
        <w:fldChar w:fldCharType="begin"/>
      </w:r>
      <w:r>
        <w:rPr>
          <w:lang w:val="en-US" w:eastAsia="ja-JP"/>
        </w:rPr>
        <w:instrText xml:space="preserve"> REF _Ref510608419 \n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 xml:space="preserve">, it is seen </w:t>
      </w:r>
      <w:r w:rsidRPr="00754D25">
        <w:rPr>
          <w:lang w:val="en-US" w:eastAsia="zh-CN"/>
        </w:rPr>
        <w:t>that several NR configurations support bandwidths of 100 MHz and above. The largest component carrier bandwidth is 400 MHz. NR supports carrier aggregation of up to 16 component carriers in which case the supported NR carrier bandwidth exceeds 1 GHz.</w:t>
      </w:r>
      <w:r w:rsidRPr="00864B55">
        <w:rPr>
          <w:lang w:val="en-US" w:eastAsia="ja-JP"/>
        </w:rPr>
        <w:t xml:space="preserve"> </w:t>
      </w:r>
    </w:p>
    <w:p w14:paraId="22544787" w14:textId="3618F8D4" w:rsidR="002555D8" w:rsidRPr="00864B55" w:rsidRDefault="002555D8" w:rsidP="00754D25">
      <w:pPr>
        <w:pStyle w:val="BodyText"/>
        <w:rPr>
          <w:lang w:val="en-US" w:eastAsia="ja-JP"/>
        </w:rPr>
      </w:pPr>
      <w:r>
        <w:rPr>
          <w:lang w:val="en-US" w:eastAsia="ja-JP"/>
        </w:rPr>
        <w:t>Hence, the bandwidth requirement is met.</w:t>
      </w:r>
    </w:p>
    <w:p w14:paraId="45FB0F25" w14:textId="06F3E458" w:rsidR="00BD2958" w:rsidRPr="00886B98" w:rsidRDefault="00BD2958" w:rsidP="00754D25">
      <w:pPr>
        <w:pStyle w:val="Heading1"/>
      </w:pPr>
      <w:r>
        <w:t>Summary</w:t>
      </w:r>
    </w:p>
    <w:p w14:paraId="6B1A8BE7" w14:textId="19F055D4" w:rsidR="00C01F33" w:rsidRDefault="00BD2958" w:rsidP="00E5689D">
      <w:pPr>
        <w:pStyle w:val="BodyText"/>
        <w:rPr>
          <w:b/>
          <w:bCs/>
          <w:lang w:val="en-US"/>
        </w:rPr>
      </w:pPr>
      <w:r w:rsidRPr="00754D25">
        <w:rPr>
          <w:b/>
          <w:bCs/>
          <w:lang w:val="en-US"/>
        </w:rPr>
        <w:t xml:space="preserve">Observation 1: </w:t>
      </w:r>
      <w:r w:rsidRPr="00754D25">
        <w:rPr>
          <w:bCs/>
          <w:lang w:val="en-US"/>
        </w:rPr>
        <w:t xml:space="preserve">There are results for </w:t>
      </w:r>
      <w:r>
        <w:rPr>
          <w:bCs/>
          <w:lang w:val="en-US"/>
        </w:rPr>
        <w:t>all</w:t>
      </w:r>
      <w:r w:rsidRPr="00754D25">
        <w:rPr>
          <w:bCs/>
          <w:lang w:val="en-US"/>
        </w:rPr>
        <w:t xml:space="preserve"> requirements</w:t>
      </w:r>
    </w:p>
    <w:p w14:paraId="72B63106" w14:textId="6593A492" w:rsidR="00BD2958" w:rsidRPr="00754D25" w:rsidRDefault="00BD2958" w:rsidP="00E5689D">
      <w:pPr>
        <w:pStyle w:val="BodyText"/>
        <w:rPr>
          <w:b/>
          <w:bCs/>
          <w:lang w:val="en-US"/>
        </w:rPr>
      </w:pPr>
      <w:r>
        <w:rPr>
          <w:b/>
          <w:bCs/>
          <w:lang w:val="en-US"/>
        </w:rPr>
        <w:t xml:space="preserve">Observation 2: </w:t>
      </w:r>
      <w:r w:rsidRPr="00754D25">
        <w:rPr>
          <w:bCs/>
          <w:lang w:val="en-US"/>
        </w:rPr>
        <w:t>The results indicate that NR meets the IMT-2020 requirements</w:t>
      </w:r>
    </w:p>
    <w:p w14:paraId="74761E64" w14:textId="77777777" w:rsidR="008A66A9" w:rsidRDefault="00F507D1" w:rsidP="008A66A9">
      <w:pPr>
        <w:pStyle w:val="Heading1"/>
      </w:pPr>
      <w:bookmarkStart w:id="2" w:name="_In-sequence_SDU_delivery"/>
      <w:bookmarkEnd w:id="2"/>
      <w:r w:rsidRPr="00CE0424">
        <w:t>References</w:t>
      </w:r>
    </w:p>
    <w:p w14:paraId="1A50D766" w14:textId="1F7E7866" w:rsidR="002555D8" w:rsidRDefault="008074FE" w:rsidP="008C4123">
      <w:pPr>
        <w:pStyle w:val="Reference"/>
        <w:rPr>
          <w:lang w:val="en-US"/>
        </w:rPr>
      </w:pPr>
      <w:r w:rsidRPr="00864B55">
        <w:rPr>
          <w:lang w:val="en-US"/>
        </w:rPr>
        <w:t xml:space="preserve">ITU-R </w:t>
      </w:r>
      <w:r w:rsidR="008A66A9" w:rsidRPr="00864B55">
        <w:rPr>
          <w:lang w:val="en-US"/>
        </w:rPr>
        <w:t xml:space="preserve">Report </w:t>
      </w:r>
      <w:r>
        <w:rPr>
          <w:lang w:val="en-US"/>
        </w:rPr>
        <w:t>M.2410</w:t>
      </w:r>
      <w:r w:rsidR="008A66A9" w:rsidRPr="00864B55">
        <w:rPr>
          <w:lang w:val="en-US"/>
        </w:rPr>
        <w:t xml:space="preserve">, </w:t>
      </w:r>
      <w:r>
        <w:rPr>
          <w:lang w:val="en-US"/>
        </w:rPr>
        <w:t>“</w:t>
      </w:r>
      <w:r w:rsidR="008A66A9" w:rsidRPr="00864B55">
        <w:rPr>
          <w:lang w:val="en-US"/>
        </w:rPr>
        <w:t>IMT-2020 Minimum R</w:t>
      </w:r>
      <w:r w:rsidR="00EB3736" w:rsidRPr="00864B55">
        <w:rPr>
          <w:lang w:val="en-US"/>
        </w:rPr>
        <w:t>equirements related to technical performance for IMT-2020 radio interfaces</w:t>
      </w:r>
      <w:r>
        <w:rPr>
          <w:lang w:val="en-US"/>
        </w:rPr>
        <w:t>”</w:t>
      </w:r>
      <w:r w:rsidR="00EB3736" w:rsidRPr="00864B55">
        <w:rPr>
          <w:lang w:val="en-US"/>
        </w:rPr>
        <w:t xml:space="preserve">, </w:t>
      </w:r>
      <w:r>
        <w:rPr>
          <w:lang w:val="en-US"/>
        </w:rPr>
        <w:t>November</w:t>
      </w:r>
      <w:r w:rsidR="00EB3736" w:rsidRPr="00864B55">
        <w:rPr>
          <w:lang w:val="en-US"/>
        </w:rPr>
        <w:t xml:space="preserve"> 2017</w:t>
      </w:r>
    </w:p>
    <w:p w14:paraId="6895AE8A" w14:textId="412142D5" w:rsidR="008074FE" w:rsidRDefault="008074FE" w:rsidP="008C4123">
      <w:pPr>
        <w:pStyle w:val="Reference"/>
        <w:rPr>
          <w:lang w:val="en-US"/>
        </w:rPr>
      </w:pPr>
      <w:r w:rsidRPr="008C4123">
        <w:rPr>
          <w:lang w:val="en-US"/>
        </w:rPr>
        <w:t>ITU-R Report M.2412, “Guidelines for evaluation of radio interface technologies for IMT-2020”, December 2017</w:t>
      </w:r>
    </w:p>
    <w:p w14:paraId="269362ED" w14:textId="731411A5" w:rsidR="00115017" w:rsidRDefault="002555D8" w:rsidP="008C4123">
      <w:pPr>
        <w:pStyle w:val="Reference"/>
        <w:rPr>
          <w:lang w:val="en-US"/>
        </w:rPr>
      </w:pPr>
      <w:r w:rsidRPr="008C4123">
        <w:rPr>
          <w:lang w:val="en-US"/>
        </w:rPr>
        <w:t>R1-180</w:t>
      </w:r>
      <w:r w:rsidR="00191AD4">
        <w:rPr>
          <w:lang w:val="en-US"/>
        </w:rPr>
        <w:t>6439</w:t>
      </w:r>
      <w:r w:rsidRPr="008C4123">
        <w:rPr>
          <w:lang w:val="en-US"/>
        </w:rPr>
        <w:t>,  “</w:t>
      </w:r>
      <w:r w:rsidRPr="00754D25">
        <w:rPr>
          <w:lang w:val="en-US"/>
        </w:rPr>
        <w:t>IMT-2020 self-evaluation: Peak data rate and peak spectrum efficiency evaluations for NR</w:t>
      </w:r>
      <w:r w:rsidRPr="008C4123">
        <w:rPr>
          <w:lang w:val="en-US"/>
        </w:rPr>
        <w:t>”, Ericsson</w:t>
      </w:r>
    </w:p>
    <w:p w14:paraId="34180920" w14:textId="57382EA3" w:rsidR="002555D8" w:rsidRDefault="00115017" w:rsidP="00115017">
      <w:pPr>
        <w:pStyle w:val="Reference"/>
        <w:rPr>
          <w:lang w:val="en-US"/>
        </w:rPr>
      </w:pPr>
      <w:bookmarkStart w:id="3" w:name="_Ref510728243"/>
      <w:bookmarkStart w:id="4" w:name="_Ref510608419"/>
      <w:r w:rsidRPr="00D00465">
        <w:rPr>
          <w:lang w:val="en-US"/>
        </w:rPr>
        <w:t>R1-180</w:t>
      </w:r>
      <w:r w:rsidR="00191AD4">
        <w:rPr>
          <w:lang w:val="en-US"/>
        </w:rPr>
        <w:t>6434</w:t>
      </w:r>
      <w:r w:rsidRPr="00D00465">
        <w:rPr>
          <w:lang w:val="en-US"/>
        </w:rPr>
        <w:t>,  “IMT</w:t>
      </w:r>
      <w:r w:rsidRPr="00115017">
        <w:rPr>
          <w:lang w:val="en-US"/>
        </w:rPr>
        <w:t xml:space="preserve"> 2020 Evaluations: On eMBB user experienced data rate with NR</w:t>
      </w:r>
      <w:r>
        <w:rPr>
          <w:lang w:val="en-US"/>
        </w:rPr>
        <w:t>”, Ericsson</w:t>
      </w:r>
      <w:bookmarkEnd w:id="3"/>
    </w:p>
    <w:p w14:paraId="1A6F8B62" w14:textId="733068EF" w:rsidR="00115017" w:rsidRDefault="00115017" w:rsidP="00115017">
      <w:pPr>
        <w:pStyle w:val="Reference"/>
        <w:rPr>
          <w:lang w:val="en-US"/>
        </w:rPr>
      </w:pPr>
      <w:bookmarkStart w:id="5" w:name="_Ref510703530"/>
      <w:r w:rsidRPr="00D00465">
        <w:rPr>
          <w:lang w:val="en-US"/>
        </w:rPr>
        <w:t>R1-180</w:t>
      </w:r>
      <w:r w:rsidR="00191AD4">
        <w:rPr>
          <w:lang w:val="en-US"/>
        </w:rPr>
        <w:t>6433</w:t>
      </w:r>
      <w:r w:rsidRPr="00D00465">
        <w:rPr>
          <w:lang w:val="en-US"/>
        </w:rPr>
        <w:t xml:space="preserve">,  </w:t>
      </w:r>
      <w:r>
        <w:rPr>
          <w:lang w:val="en-US"/>
        </w:rPr>
        <w:t>“</w:t>
      </w:r>
      <w:r w:rsidRPr="00115017">
        <w:rPr>
          <w:lang w:val="en-US"/>
        </w:rPr>
        <w:t>IMT 2020 Evaluations: On eMBB spectral efficiency with NR</w:t>
      </w:r>
      <w:r>
        <w:rPr>
          <w:lang w:val="en-US"/>
        </w:rPr>
        <w:t>”, Ericsson</w:t>
      </w:r>
      <w:bookmarkEnd w:id="5"/>
    </w:p>
    <w:p w14:paraId="7368E4AB" w14:textId="302BA690" w:rsidR="00115017" w:rsidRDefault="00115017" w:rsidP="00115017">
      <w:pPr>
        <w:pStyle w:val="Reference"/>
        <w:rPr>
          <w:lang w:val="en-US"/>
        </w:rPr>
      </w:pPr>
      <w:bookmarkStart w:id="6" w:name="_Ref510703881"/>
      <w:r w:rsidRPr="00D00465">
        <w:rPr>
          <w:lang w:val="en-US"/>
        </w:rPr>
        <w:t>R1-180</w:t>
      </w:r>
      <w:r w:rsidR="00191AD4">
        <w:rPr>
          <w:lang w:val="en-US"/>
        </w:rPr>
        <w:t>6435</w:t>
      </w:r>
      <w:r w:rsidRPr="00D00465">
        <w:rPr>
          <w:lang w:val="en-US"/>
        </w:rPr>
        <w:t xml:space="preserve">,  </w:t>
      </w:r>
      <w:r>
        <w:rPr>
          <w:lang w:val="en-US"/>
        </w:rPr>
        <w:t>“</w:t>
      </w:r>
      <w:r w:rsidRPr="00115017">
        <w:rPr>
          <w:lang w:val="en-US"/>
        </w:rPr>
        <w:t>IMT 2020 Evaluations: On eMBB area traffic capacity with NR</w:t>
      </w:r>
      <w:r>
        <w:rPr>
          <w:lang w:val="en-US"/>
        </w:rPr>
        <w:t>”, Ericsson</w:t>
      </w:r>
      <w:bookmarkEnd w:id="6"/>
    </w:p>
    <w:p w14:paraId="160CD9B0" w14:textId="6649FA1C" w:rsidR="00115017" w:rsidRDefault="00115017" w:rsidP="00115017">
      <w:pPr>
        <w:pStyle w:val="Reference"/>
        <w:rPr>
          <w:lang w:val="en-US"/>
        </w:rPr>
      </w:pPr>
      <w:bookmarkStart w:id="7" w:name="_Ref510704099"/>
      <w:r>
        <w:rPr>
          <w:lang w:val="en-US"/>
        </w:rPr>
        <w:t>R1-180</w:t>
      </w:r>
      <w:r w:rsidR="00191AD4">
        <w:rPr>
          <w:lang w:val="en-US"/>
        </w:rPr>
        <w:t>6442</w:t>
      </w:r>
      <w:r>
        <w:rPr>
          <w:lang w:val="en-US"/>
        </w:rPr>
        <w:t>, “</w:t>
      </w:r>
      <w:r w:rsidRPr="00115017">
        <w:rPr>
          <w:lang w:val="en-US"/>
        </w:rPr>
        <w:t>IMT 2020 Evaluations - UP latency in NR</w:t>
      </w:r>
      <w:r>
        <w:rPr>
          <w:lang w:val="en-US"/>
        </w:rPr>
        <w:t>”, Ericsson</w:t>
      </w:r>
      <w:bookmarkEnd w:id="7"/>
    </w:p>
    <w:p w14:paraId="02F0C411" w14:textId="0B1D3E0D" w:rsidR="00115017" w:rsidRDefault="00115017" w:rsidP="00115017">
      <w:pPr>
        <w:pStyle w:val="Reference"/>
        <w:rPr>
          <w:lang w:val="en-US"/>
        </w:rPr>
      </w:pPr>
      <w:bookmarkStart w:id="8" w:name="_Ref510704107"/>
      <w:r>
        <w:rPr>
          <w:lang w:val="en-US"/>
        </w:rPr>
        <w:t>R1-180</w:t>
      </w:r>
      <w:r w:rsidR="00191AD4">
        <w:rPr>
          <w:lang w:val="en-US"/>
        </w:rPr>
        <w:t>6441</w:t>
      </w:r>
      <w:r>
        <w:rPr>
          <w:lang w:val="en-US"/>
        </w:rPr>
        <w:t>, “</w:t>
      </w:r>
      <w:r w:rsidRPr="00115017">
        <w:rPr>
          <w:lang w:val="en-US"/>
        </w:rPr>
        <w:t>IMT 2020 Evaluations - CP latency in NR</w:t>
      </w:r>
      <w:r>
        <w:rPr>
          <w:lang w:val="en-US"/>
        </w:rPr>
        <w:t>”, Ericsson</w:t>
      </w:r>
      <w:bookmarkEnd w:id="8"/>
    </w:p>
    <w:p w14:paraId="2DA55868" w14:textId="7F23F0BD" w:rsidR="00115017" w:rsidRDefault="00115017" w:rsidP="00115017">
      <w:pPr>
        <w:pStyle w:val="Reference"/>
        <w:rPr>
          <w:lang w:val="en-US"/>
        </w:rPr>
      </w:pPr>
      <w:bookmarkStart w:id="9" w:name="_Ref510704114"/>
      <w:r>
        <w:rPr>
          <w:lang w:val="en-US"/>
        </w:rPr>
        <w:t>R1-180</w:t>
      </w:r>
      <w:r w:rsidR="00191AD4">
        <w:rPr>
          <w:lang w:val="en-US"/>
        </w:rPr>
        <w:t>6436</w:t>
      </w:r>
      <w:r>
        <w:rPr>
          <w:lang w:val="en-US"/>
        </w:rPr>
        <w:t>, “</w:t>
      </w:r>
      <w:r w:rsidRPr="00115017">
        <w:rPr>
          <w:lang w:val="en-US"/>
        </w:rPr>
        <w:t>IMT-2020 self-evaluation: mMTC non-full-buffer connection density</w:t>
      </w:r>
      <w:r>
        <w:rPr>
          <w:lang w:val="en-US"/>
        </w:rPr>
        <w:t>”, Ericsson</w:t>
      </w:r>
      <w:bookmarkEnd w:id="9"/>
    </w:p>
    <w:p w14:paraId="0F58F58E" w14:textId="17BE3412" w:rsidR="00115017" w:rsidRDefault="00115017" w:rsidP="00115017">
      <w:pPr>
        <w:pStyle w:val="Reference"/>
        <w:rPr>
          <w:lang w:val="en-US"/>
        </w:rPr>
      </w:pPr>
      <w:bookmarkStart w:id="10" w:name="_Ref510704120"/>
      <w:r>
        <w:rPr>
          <w:lang w:val="en-US"/>
        </w:rPr>
        <w:lastRenderedPageBreak/>
        <w:t>R1-180</w:t>
      </w:r>
      <w:r w:rsidR="00191AD4">
        <w:rPr>
          <w:lang w:val="en-US"/>
        </w:rPr>
        <w:t>6437</w:t>
      </w:r>
      <w:r>
        <w:rPr>
          <w:lang w:val="en-US"/>
        </w:rPr>
        <w:t>, “</w:t>
      </w:r>
      <w:r w:rsidRPr="00115017">
        <w:rPr>
          <w:lang w:val="en-US"/>
        </w:rPr>
        <w:t>IMT-2020 self-evaluation: mMTC full buffer connection density</w:t>
      </w:r>
      <w:r>
        <w:rPr>
          <w:lang w:val="en-US"/>
        </w:rPr>
        <w:t>”, Ericsson</w:t>
      </w:r>
      <w:bookmarkEnd w:id="10"/>
    </w:p>
    <w:p w14:paraId="3EAA5FF4" w14:textId="024D7928" w:rsidR="00115017" w:rsidRDefault="00115017" w:rsidP="00115017">
      <w:pPr>
        <w:pStyle w:val="Reference"/>
        <w:rPr>
          <w:lang w:val="en-US"/>
        </w:rPr>
      </w:pPr>
      <w:bookmarkStart w:id="11" w:name="_Ref510704126"/>
      <w:r>
        <w:rPr>
          <w:lang w:val="en-US"/>
        </w:rPr>
        <w:t>R1-180</w:t>
      </w:r>
      <w:r w:rsidR="00191AD4">
        <w:rPr>
          <w:lang w:val="en-US"/>
        </w:rPr>
        <w:t>6440</w:t>
      </w:r>
      <w:r>
        <w:rPr>
          <w:lang w:val="en-US"/>
        </w:rPr>
        <w:t>, “</w:t>
      </w:r>
      <w:r w:rsidRPr="00115017">
        <w:rPr>
          <w:lang w:val="en-US"/>
        </w:rPr>
        <w:t>IMT-2020 self</w:t>
      </w:r>
      <w:r>
        <w:rPr>
          <w:lang w:val="en-US"/>
        </w:rPr>
        <w:t>-</w:t>
      </w:r>
      <w:r w:rsidRPr="00115017">
        <w:rPr>
          <w:lang w:val="en-US"/>
        </w:rPr>
        <w:t>evaluation: Radio Network Energy Performance</w:t>
      </w:r>
      <w:r>
        <w:rPr>
          <w:lang w:val="en-US"/>
        </w:rPr>
        <w:t>”, Ericsson</w:t>
      </w:r>
      <w:bookmarkEnd w:id="11"/>
    </w:p>
    <w:p w14:paraId="039E6A4C" w14:textId="28B4C8FC" w:rsidR="00115017" w:rsidRPr="008C4123" w:rsidRDefault="00115017" w:rsidP="00754D25">
      <w:pPr>
        <w:pStyle w:val="Reference"/>
        <w:rPr>
          <w:lang w:val="en-US"/>
        </w:rPr>
      </w:pPr>
      <w:bookmarkStart w:id="12" w:name="_Ref510704143"/>
      <w:r>
        <w:rPr>
          <w:lang w:val="en-US"/>
        </w:rPr>
        <w:t>R1-180</w:t>
      </w:r>
      <w:r w:rsidR="00191AD4">
        <w:rPr>
          <w:lang w:val="en-US"/>
        </w:rPr>
        <w:t>6443</w:t>
      </w:r>
      <w:r>
        <w:rPr>
          <w:lang w:val="en-US"/>
        </w:rPr>
        <w:t>, “</w:t>
      </w:r>
      <w:r w:rsidRPr="00115017">
        <w:rPr>
          <w:lang w:val="en-US"/>
        </w:rPr>
        <w:t>IMT 2020 Evaluations - Reliability in NR</w:t>
      </w:r>
      <w:r>
        <w:rPr>
          <w:lang w:val="en-US"/>
        </w:rPr>
        <w:t>”, Ericsson</w:t>
      </w:r>
      <w:bookmarkEnd w:id="12"/>
    </w:p>
    <w:p w14:paraId="4581440C" w14:textId="130CBFD4" w:rsidR="00C5015D" w:rsidRDefault="007125D7" w:rsidP="00DA1B7D">
      <w:pPr>
        <w:pStyle w:val="Reference"/>
        <w:rPr>
          <w:lang w:val="en-US"/>
        </w:rPr>
      </w:pPr>
      <w:bookmarkStart w:id="13" w:name="_Ref510616901"/>
      <w:bookmarkEnd w:id="4"/>
      <w:r w:rsidRPr="00115017">
        <w:rPr>
          <w:lang w:val="en-US"/>
        </w:rPr>
        <w:t>R1-1</w:t>
      </w:r>
      <w:r w:rsidR="00BD2958" w:rsidRPr="00115017">
        <w:rPr>
          <w:lang w:val="en-US"/>
        </w:rPr>
        <w:t>80</w:t>
      </w:r>
      <w:r w:rsidR="00191AD4">
        <w:rPr>
          <w:lang w:val="en-US"/>
        </w:rPr>
        <w:t>6438</w:t>
      </w:r>
      <w:r w:rsidRPr="00115017">
        <w:rPr>
          <w:lang w:val="en-US"/>
        </w:rPr>
        <w:t>, “IMT-2020 self-evaluation: Mobility evaluations for NR”, 3GPP TSG-RAN WG1 #91, Ericsson</w:t>
      </w:r>
    </w:p>
    <w:p w14:paraId="62050809" w14:textId="7852498A" w:rsidR="002555D8" w:rsidRPr="00115017" w:rsidRDefault="00D81E71" w:rsidP="00754D25">
      <w:pPr>
        <w:pStyle w:val="Reference"/>
        <w:rPr>
          <w:lang w:val="en-US"/>
        </w:rPr>
      </w:pPr>
      <w:hyperlink r:id="rId8" w:history="1">
        <w:r w:rsidR="00C5015D">
          <w:rPr>
            <w:rStyle w:val="Hyperlink"/>
            <w:lang w:val="en-US"/>
          </w:rPr>
          <w:t>R2-1804091</w:t>
        </w:r>
      </w:hyperlink>
      <w:r w:rsidR="00C5015D">
        <w:rPr>
          <w:lang w:val="en-US"/>
        </w:rPr>
        <w:t>, “</w:t>
      </w:r>
      <w:r w:rsidR="00C5015D" w:rsidRPr="00C5015D">
        <w:rPr>
          <w:lang w:val="en-US"/>
        </w:rPr>
        <w:t>LS to RAN on IMT-2020 requirement for 0ms handover interruption time in Rel-15</w:t>
      </w:r>
      <w:r w:rsidR="00C5015D">
        <w:rPr>
          <w:lang w:val="en-US"/>
        </w:rPr>
        <w:t>”, RAN WG2</w:t>
      </w:r>
      <w:bookmarkEnd w:id="13"/>
    </w:p>
    <w:p w14:paraId="35423895" w14:textId="20417925" w:rsidR="006B436A" w:rsidRPr="00754D25" w:rsidRDefault="006B436A" w:rsidP="006B436A">
      <w:pPr>
        <w:rPr>
          <w:lang w:val="en-US" w:eastAsia="zh-CN"/>
        </w:rPr>
      </w:pPr>
    </w:p>
    <w:sectPr w:rsidR="006B436A" w:rsidRPr="00754D25"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D8976" w14:textId="77777777" w:rsidR="00D81E71" w:rsidRDefault="00D81E71">
      <w:r>
        <w:separator/>
      </w:r>
    </w:p>
  </w:endnote>
  <w:endnote w:type="continuationSeparator" w:id="0">
    <w:p w14:paraId="3898C4F4" w14:textId="77777777" w:rsidR="00D81E71" w:rsidRDefault="00D8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DEC27" w14:textId="77777777" w:rsidR="00D81E71" w:rsidRDefault="00D81E71">
      <w:r>
        <w:separator/>
      </w:r>
    </w:p>
  </w:footnote>
  <w:footnote w:type="continuationSeparator" w:id="0">
    <w:p w14:paraId="76C803C9" w14:textId="77777777" w:rsidR="00D81E71" w:rsidRDefault="00D81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4A6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B4A"/>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3A8E"/>
    <w:rsid w:val="0018143F"/>
    <w:rsid w:val="00190AC1"/>
    <w:rsid w:val="00191AD4"/>
    <w:rsid w:val="0019341A"/>
    <w:rsid w:val="00197DF9"/>
    <w:rsid w:val="001A1987"/>
    <w:rsid w:val="001A2564"/>
    <w:rsid w:val="001A3E8B"/>
    <w:rsid w:val="001A423F"/>
    <w:rsid w:val="001A6173"/>
    <w:rsid w:val="001A6CBA"/>
    <w:rsid w:val="001B0D97"/>
    <w:rsid w:val="001B47AE"/>
    <w:rsid w:val="001B5A5D"/>
    <w:rsid w:val="001C1CE5"/>
    <w:rsid w:val="001C3D2A"/>
    <w:rsid w:val="001D03A8"/>
    <w:rsid w:val="001D51BA"/>
    <w:rsid w:val="001D6342"/>
    <w:rsid w:val="001D6D53"/>
    <w:rsid w:val="001E2560"/>
    <w:rsid w:val="001E58E2"/>
    <w:rsid w:val="001E62EB"/>
    <w:rsid w:val="001E7AED"/>
    <w:rsid w:val="001F1887"/>
    <w:rsid w:val="001F3916"/>
    <w:rsid w:val="001F54C5"/>
    <w:rsid w:val="001F662C"/>
    <w:rsid w:val="001F7074"/>
    <w:rsid w:val="001F7F2E"/>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55D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777D"/>
    <w:rsid w:val="002A055E"/>
    <w:rsid w:val="002A1D4E"/>
    <w:rsid w:val="002A1F9E"/>
    <w:rsid w:val="002A2869"/>
    <w:rsid w:val="002B24D6"/>
    <w:rsid w:val="002B3514"/>
    <w:rsid w:val="002C1495"/>
    <w:rsid w:val="002C3DE4"/>
    <w:rsid w:val="002C41E6"/>
    <w:rsid w:val="002D071A"/>
    <w:rsid w:val="002D34B2"/>
    <w:rsid w:val="002D64F5"/>
    <w:rsid w:val="002D7637"/>
    <w:rsid w:val="002E0100"/>
    <w:rsid w:val="002E17F2"/>
    <w:rsid w:val="002E50AC"/>
    <w:rsid w:val="002E7CAE"/>
    <w:rsid w:val="002F2771"/>
    <w:rsid w:val="002F37A9"/>
    <w:rsid w:val="002F3DE3"/>
    <w:rsid w:val="002F6288"/>
    <w:rsid w:val="003002F5"/>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5B1F"/>
    <w:rsid w:val="003D763C"/>
    <w:rsid w:val="003E15FA"/>
    <w:rsid w:val="003E399E"/>
    <w:rsid w:val="003E55E4"/>
    <w:rsid w:val="003E74E3"/>
    <w:rsid w:val="003F0169"/>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E1A"/>
    <w:rsid w:val="00465ABC"/>
    <w:rsid w:val="004669E2"/>
    <w:rsid w:val="004675D8"/>
    <w:rsid w:val="00470C31"/>
    <w:rsid w:val="004734D0"/>
    <w:rsid w:val="0047556B"/>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1602"/>
    <w:rsid w:val="005E385F"/>
    <w:rsid w:val="005E5B81"/>
    <w:rsid w:val="005F2CB1"/>
    <w:rsid w:val="005F3025"/>
    <w:rsid w:val="005F547B"/>
    <w:rsid w:val="005F618C"/>
    <w:rsid w:val="005F70BD"/>
    <w:rsid w:val="0060283C"/>
    <w:rsid w:val="00604F14"/>
    <w:rsid w:val="00611B83"/>
    <w:rsid w:val="00613257"/>
    <w:rsid w:val="00620A71"/>
    <w:rsid w:val="00620D80"/>
    <w:rsid w:val="0062118A"/>
    <w:rsid w:val="006234A6"/>
    <w:rsid w:val="00630001"/>
    <w:rsid w:val="006311B3"/>
    <w:rsid w:val="0063284C"/>
    <w:rsid w:val="00636398"/>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7C9"/>
    <w:rsid w:val="00683ECE"/>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3DC1"/>
    <w:rsid w:val="007A43A6"/>
    <w:rsid w:val="007A58A6"/>
    <w:rsid w:val="007A5B38"/>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6911"/>
    <w:rsid w:val="00864B55"/>
    <w:rsid w:val="008677FD"/>
    <w:rsid w:val="008706D4"/>
    <w:rsid w:val="00870F8A"/>
    <w:rsid w:val="008719A4"/>
    <w:rsid w:val="00871D23"/>
    <w:rsid w:val="00874312"/>
    <w:rsid w:val="0087437C"/>
    <w:rsid w:val="00875CD7"/>
    <w:rsid w:val="00876B4D"/>
    <w:rsid w:val="00877F18"/>
    <w:rsid w:val="0088649E"/>
    <w:rsid w:val="00886B98"/>
    <w:rsid w:val="00894A88"/>
    <w:rsid w:val="00895386"/>
    <w:rsid w:val="008A21FF"/>
    <w:rsid w:val="008A2CE2"/>
    <w:rsid w:val="008A30AC"/>
    <w:rsid w:val="008A44B8"/>
    <w:rsid w:val="008A51A8"/>
    <w:rsid w:val="008A54C7"/>
    <w:rsid w:val="008A66A9"/>
    <w:rsid w:val="008A77D8"/>
    <w:rsid w:val="008B0483"/>
    <w:rsid w:val="008B0EF5"/>
    <w:rsid w:val="008B120C"/>
    <w:rsid w:val="008B124F"/>
    <w:rsid w:val="008B51A0"/>
    <w:rsid w:val="008B592A"/>
    <w:rsid w:val="008B7B5C"/>
    <w:rsid w:val="008C0C99"/>
    <w:rsid w:val="008C2017"/>
    <w:rsid w:val="008C4123"/>
    <w:rsid w:val="008C4958"/>
    <w:rsid w:val="008C4BAA"/>
    <w:rsid w:val="008C6AE8"/>
    <w:rsid w:val="008C7573"/>
    <w:rsid w:val="008D34F1"/>
    <w:rsid w:val="008D39D8"/>
    <w:rsid w:val="008D3CFF"/>
    <w:rsid w:val="008D6BDD"/>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403E"/>
    <w:rsid w:val="009C6832"/>
    <w:rsid w:val="009D4FF0"/>
    <w:rsid w:val="009D703C"/>
    <w:rsid w:val="009D718F"/>
    <w:rsid w:val="009E068F"/>
    <w:rsid w:val="009E14E0"/>
    <w:rsid w:val="009E35DB"/>
    <w:rsid w:val="009E47A3"/>
    <w:rsid w:val="009F08F3"/>
    <w:rsid w:val="009F344F"/>
    <w:rsid w:val="009F39B6"/>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1FBD"/>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4D2A"/>
    <w:rsid w:val="00C9027A"/>
    <w:rsid w:val="00C9068E"/>
    <w:rsid w:val="00C93C4B"/>
    <w:rsid w:val="00C944AB"/>
    <w:rsid w:val="00C95B40"/>
    <w:rsid w:val="00CA1068"/>
    <w:rsid w:val="00CA1ED8"/>
    <w:rsid w:val="00CA2417"/>
    <w:rsid w:val="00CA3BCA"/>
    <w:rsid w:val="00CB1F63"/>
    <w:rsid w:val="00CB7170"/>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239A7"/>
    <w:rsid w:val="00D23F47"/>
    <w:rsid w:val="00D25097"/>
    <w:rsid w:val="00D36E71"/>
    <w:rsid w:val="00D37D87"/>
    <w:rsid w:val="00D40B33"/>
    <w:rsid w:val="00D4318F"/>
    <w:rsid w:val="00D438BF"/>
    <w:rsid w:val="00D440F8"/>
    <w:rsid w:val="00D5443A"/>
    <w:rsid w:val="00D546FF"/>
    <w:rsid w:val="00D55AD5"/>
    <w:rsid w:val="00D56D0B"/>
    <w:rsid w:val="00D576CA"/>
    <w:rsid w:val="00D61AF5"/>
    <w:rsid w:val="00D652B5"/>
    <w:rsid w:val="00D66155"/>
    <w:rsid w:val="00D708B0"/>
    <w:rsid w:val="00D77B1D"/>
    <w:rsid w:val="00D8021F"/>
    <w:rsid w:val="00D80383"/>
    <w:rsid w:val="00D81E71"/>
    <w:rsid w:val="00D823C6"/>
    <w:rsid w:val="00D8372F"/>
    <w:rsid w:val="00D86CA3"/>
    <w:rsid w:val="00D871CE"/>
    <w:rsid w:val="00D9196D"/>
    <w:rsid w:val="00D927D5"/>
    <w:rsid w:val="00D92982"/>
    <w:rsid w:val="00DA305E"/>
    <w:rsid w:val="00DA3CBE"/>
    <w:rsid w:val="00DA5417"/>
    <w:rsid w:val="00DA56E8"/>
    <w:rsid w:val="00DB0A9F"/>
    <w:rsid w:val="00DB377D"/>
    <w:rsid w:val="00DC01C4"/>
    <w:rsid w:val="00DC2D36"/>
    <w:rsid w:val="00DC45C8"/>
    <w:rsid w:val="00DC53EF"/>
    <w:rsid w:val="00DD4B72"/>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0B1D"/>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4D01"/>
    <w:rsid w:val="00EC5653"/>
    <w:rsid w:val="00EC71CE"/>
    <w:rsid w:val="00EC77A7"/>
    <w:rsid w:val="00ED1006"/>
    <w:rsid w:val="00ED7F14"/>
    <w:rsid w:val="00EE3E4F"/>
    <w:rsid w:val="00EE59C8"/>
    <w:rsid w:val="00EF18FE"/>
    <w:rsid w:val="00EF3486"/>
    <w:rsid w:val="00EF5787"/>
    <w:rsid w:val="00EF60D0"/>
    <w:rsid w:val="00F0263D"/>
    <w:rsid w:val="00F04B58"/>
    <w:rsid w:val="00F0528D"/>
    <w:rsid w:val="00F06C67"/>
    <w:rsid w:val="00F06DFD"/>
    <w:rsid w:val="00F071D1"/>
    <w:rsid w:val="00F07533"/>
    <w:rsid w:val="00F10629"/>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6A6A"/>
    <w:rsid w:val="00FC2EF0"/>
    <w:rsid w:val="00FC7429"/>
    <w:rsid w:val="00FD07F6"/>
    <w:rsid w:val="00FD1EC8"/>
    <w:rsid w:val="00FD47ED"/>
    <w:rsid w:val="00FD4BD7"/>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49E"/>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8864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49E"/>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815996">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1/Docs/R2-180409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180BE-CCCB-4EDF-AA05-B12C588F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2018-04-06T16:03:00Z</dcterms:created>
  <dcterms:modified xsi:type="dcterms:W3CDTF">2018-05-11T20:33:00Z</dcterms:modified>
</cp:coreProperties>
</file>